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39.jpg" ContentType="image/jpeg"/>
  <Override PartName="/word/media/rId42.jpg" ContentType="image/jpeg"/>
  <Override PartName="/word/media/rId57.jpg" ContentType="image/jpeg"/>
  <Override PartName="/word/media/rId60.jpg" ContentType="image/jpeg"/>
  <Override PartName="/word/media/rId51.jpg" ContentType="image/jpeg"/>
  <Override PartName="/word/media/rId58.jpg" ContentType="image/jpeg"/>
  <Override PartName="/word/media/rId49.jpg" ContentType="image/jpeg"/>
  <Override PartName="/word/media/rId61.jpg" ContentType="image/jpeg"/>
  <Override PartName="/word/media/rId59.jpg" ContentType="image/jpeg"/>
  <Override PartName="/word/media/rId46.jpg" ContentType="image/jpeg"/>
  <Override PartName="/word/media/rId43.jpg" ContentType="image/jpeg"/>
  <Override PartName="/word/media/rId53.jpg" ContentType="image/jpeg"/>
  <Override PartName="/word/media/rId52.jpg" ContentType="image/jpeg"/>
  <Override PartName="/word/media/rId55.jpg" ContentType="image/jpeg"/>
  <Override PartName="/word/media/rId44.jpg" ContentType="image/jpeg"/>
  <Override PartName="/word/media/rId45.jpg" ContentType="image/jpeg"/>
  <Override PartName="/word/media/rId48.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13</w:t>
      </w:r>
      <w:r>
        <w:t xml:space="preserve"> </w:t>
      </w:r>
      <w:r>
        <w:t xml:space="preserve">October,</w:t>
      </w:r>
      <w:r>
        <w:t xml:space="preserve"> </w:t>
      </w:r>
      <w:r>
        <w:t xml:space="preserve">2020</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(1930, 1928, 1921)</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 pp. 667–68)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studied, but a lack of systematic, quantitative comparisons between them has left us with many intuited trends, some exceptional tombs, yet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addresses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5" w:name="early-iron-age-knossos"/>
      <w:bookmarkEnd w:id="25"/>
      <w:r>
        <w:t xml:space="preserve">2. Early Iron Age Knossos</w:t>
      </w:r>
    </w:p>
    <w:p>
      <w:pPr>
        <w:pStyle w:val="Heading2"/>
      </w:pPr>
      <w:bookmarkStart w:id="26" w:name="settlement-evidence-a-meagre-filling-in-a-very-thick-sandwich"/>
      <w:bookmarkEnd w:id="26"/>
      <w:r>
        <w:t xml:space="preserve">2.1 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 its</w:t>
      </w:r>
      <w:r>
        <w:t xml:space="preserve"> </w:t>
      </w:r>
      <w:r>
        <w:t xml:space="preserve">“</w:t>
      </w:r>
      <w:r>
        <w:t xml:space="preserve">remains […]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(Α</w:t>
      </w:r>
      <m:oMath>
        <m:r>
          <m:t>λ</m:t>
        </m:r>
      </m:oMath>
      <m:oMath>
        <m:r>
          <m:t>ϵ</m:t>
        </m:r>
      </m:oMath>
      <m:oMath>
        <m:r>
          <m:t>ξ</m:t>
        </m:r>
      </m:oMath>
      <w:r>
        <w:t xml:space="preserve">ίο</w:t>
      </w:r>
      <m:oMath>
        <m:r>
          <m:t>υ</m:t>
        </m:r>
      </m:oMath>
      <w:r>
        <w:t xml:space="preserve">, 1950)</w:t>
      </w:r>
      <w:r>
        <w:t xml:space="preserve">.</w:t>
      </w:r>
    </w:p>
    <w:p>
      <w:pPr>
        <w:pStyle w:val="BodyText"/>
      </w:pPr>
      <w:r>
        <w:t xml:space="preserve">However, a concentration of activity slightly to the west of the palace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and, more recently, findings of the Knossos Urban Landscape Project (KULP) suggest a PG settlement of up to 40ha</w:t>
      </w:r>
      <w:r>
        <w:t xml:space="preserve"> </w:t>
      </w:r>
      <w:r>
        <w:t xml:space="preserve">(Kotsonas et al., 2011: 5-8)</w:t>
      </w:r>
      <w:r>
        <w:t xml:space="preserve">. This estimate remains our best guess in the absence of substantial excavated deposits but, if accurate, suggests that EIA Knossos was one of the largest sites of the contemporary Aegean.</w:t>
      </w:r>
    </w:p>
    <w:p>
      <w:pPr>
        <w:pStyle w:val="Heading2"/>
      </w:pPr>
      <w:bookmarkStart w:id="27" w:name="the-early-iron-age-cemeteries"/>
      <w:bookmarkEnd w:id="27"/>
      <w:r>
        <w:t xml:space="preserve">2.2 The Early Iron Age Cemeteries</w:t>
      </w:r>
    </w:p>
    <w:p>
      <w:pPr>
        <w:pStyle w:val="FigureWithCaption"/>
      </w:pPr>
      <w:r>
        <w:drawing>
          <wp:inline>
            <wp:extent cx="5943600" cy="8408019"/>
            <wp:effectExtent b="0" l="0" r="0" t="0"/>
            <wp:docPr descr="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 title="" id="1" name="Picture"/>
            <a:graphic>
              <a:graphicData uri="http://schemas.openxmlformats.org/drawingml/2006/picture">
                <pic:pic>
                  <pic:nvPicPr>
                    <pic:cNvPr descr="../figures/Knossos%20Tombs%20Map2.jpg" id="0" name="Picture"/>
                    <pic:cNvPicPr>
                      <a:picLocks noChangeArrowheads="1" noChangeAspect="1"/>
                    </pic:cNvPicPr>
                  </pic:nvPicPr>
                  <pic:blipFill>
                    <a:blip r:embed="rId28"/>
                    <a:stretch>
                      <a:fillRect/>
                    </a:stretch>
                  </pic:blipFill>
                  <pic:spPr bwMode="auto">
                    <a:xfrm>
                      <a:off x="0" y="0"/>
                      <a:ext cx="5943600" cy="8408019"/>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t xml:space="preserve">Survey aside, our most abundant evidence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cf. Hoffman, 1997</w:t>
      </w:r>
      <w:r>
        <w:t xml:space="preserve"> </w:t>
      </w:r>
      <w:r>
        <w:t xml:space="preserve">Kotsonas (2006)</w:t>
      </w:r>
      <w:r>
        <w:t xml:space="preserve">; Hutchinson and Boardman, 1954)</w:t>
      </w:r>
      <w:r>
        <w:t xml:space="preserve">. Taken together, these scattered tombs point to a richly variegated set of funerary practices but, despite their reasonable number, are so dispersed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but social practice of any kind at EIA Knossos.</w:t>
      </w:r>
    </w:p>
    <w:p>
      <w:pPr>
        <w:pStyle w:val="Heading2"/>
      </w:pPr>
      <w:bookmarkStart w:id="29" w:name="the-fortetsa-and-knossos-north-cemeteries"/>
      <w:bookmarkEnd w:id="29"/>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 (Brock 1957: xi), grouped into three main clusters running north to south. Three of those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thoroughly looted at the time of excavation and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there in 1978</w:t>
      </w:r>
      <w:r>
        <w:t xml:space="preserve"> </w:t>
      </w:r>
      <w:r>
        <w:t xml:space="preserve">(Coldstream and Catling, 1996: 53-55)</w:t>
      </w:r>
      <w:r>
        <w:t xml:space="preserve">.</w:t>
      </w:r>
    </w:p>
    <w:p>
      <w:pPr>
        <w:pStyle w:val="BodyText"/>
      </w:pPr>
      <w:r>
        <w:t xml:space="preserve">The tombs themselves fall largely into three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47-48)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2.4 Chronological Developments in the Cemeteries</w:t>
      </w:r>
    </w:p>
    <w:p>
      <w:pPr>
        <w:pStyle w:val="FirstParagraph"/>
      </w:pPr>
      <w:r>
        <w:t xml:space="preserve">The foundation of the cemeteries has received much attention. It has been claimed that no tomb crosses the Late Minoan IIIC-SM divide</w:t>
      </w:r>
      <w:r>
        <w:t xml:space="preserve"> </w:t>
      </w:r>
      <w:r>
        <w:t xml:space="preserve">(Coldstream, 2006: 582, 1998: 58)</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 Coldstream, 1984b: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 Coldstream, 1984b;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the Bronze Age past clearly possessed a significant and enduring cultural cachet for the EIA Knossians.</w:t>
      </w:r>
    </w:p>
    <w:p>
      <w:pPr>
        <w:pStyle w:val="BodyText"/>
      </w:pPr>
      <w:r>
        <w:t xml:space="preserve">As contentious as their founding is the abrupt abandonment of both cemeteries around 630 BC. Admittedly, few new tombs had been built in the preceding century, though interments in old tombs had certainly continued</w:t>
      </w:r>
      <w:r>
        <w:t xml:space="preserve"> </w:t>
      </w:r>
      <w:r>
        <w:t xml:space="preserve">(Brock, 1957: 4; Cavanagh, 1996: 651-53)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301-302; Huxley, 1994: 126; Kotsonas, 2002: 41-44)</w:t>
      </w:r>
      <w:r>
        <w:t xml:space="preserve">, there are now strong reasons to doubt the settlement was abandoned (Whitelaw, pers. comm.).</w:t>
      </w:r>
    </w:p>
    <w:p>
      <w:pPr>
        <w:pStyle w:val="Heading2"/>
      </w:pPr>
      <w:bookmarkStart w:id="31" w:name="heroes-abroad-immigrants-at-home"/>
      <w:bookmarkEnd w:id="31"/>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mutuable nature of an object’s value, the transformations latent within its social existence. Fertilised by the Homeric motif of gift-giving</w:t>
      </w:r>
      <w:r>
        <w:t xml:space="preserve"> </w:t>
      </w:r>
      <w:r>
        <w:t xml:space="preserve">(Whitley, 2002: 220-21)</w:t>
      </w:r>
      <w:r>
        <w:t xml:space="preserve">, and the remarkable archaeological parallels for such items – such as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p>
    <w:p>
      <w:pPr>
        <w:pStyle w:val="BodyText"/>
      </w:pPr>
      <w:r>
        <w:t xml:space="preserve">For instance, Tomb 201 in the KNC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He has argued that individuals who dared to travel abroad in this time of more limited seafaring, accruing exotica and stories from distant lands, would have been accorded exceptional treatment, including the deposition of such items, in death</w:t>
      </w:r>
      <w:r>
        <w:t xml:space="preserve"> </w:t>
      </w:r>
      <w:r>
        <w:t xml:space="preserve">(Catling, 1995: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2.6 Number Crunching: Quantitative Analyses of the Cemeteries</w:t>
      </w:r>
    </w:p>
    <w:p>
      <w:pPr>
        <w:pStyle w:val="FirstParagraph"/>
      </w:pPr>
      <w:r>
        <w:t xml:space="preserve">Generally speaking, the above analyses have tended to rely on particular finds, tombs, or observable, but limited, patterns in the data; few authors have pursued more quantative approaches. Cluster analyses have been employed by both Cavanagh</w:t>
      </w:r>
      <w:r>
        <w:t xml:space="preserve"> </w:t>
      </w:r>
      <w:r>
        <w:t xml:space="preserve">(1996: 653-57)</w:t>
      </w:r>
      <w:r>
        <w:t xml:space="preserve"> </w:t>
      </w:r>
      <w:r>
        <w:t xml:space="preserve">and Antoniadis</w:t>
      </w:r>
      <w:r>
        <w:t xml:space="preserve"> </w:t>
      </w:r>
      <w:r>
        <w:t xml:space="preserve">(2012: 193-97)</w:t>
      </w:r>
      <w:r>
        <w:t xml:space="preserve">, the most sophisticated statistical techniques so far applied to the material. Antoniadis</w:t>
      </w:r>
      <w:r>
        <w:t xml:space="preserve"> </w:t>
      </w:r>
      <w:r>
        <w:t xml:space="preserve">(2012: 172-76)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a more systematic quantitative analysis.</w:t>
      </w:r>
    </w:p>
    <w:p>
      <w:pPr>
        <w:pStyle w:val="Heading1"/>
      </w:pPr>
      <w:bookmarkStart w:id="33" w:name="methods"/>
      <w:bookmarkEnd w:id="33"/>
      <w:r>
        <w:t xml:space="preserve">3. Methods</w:t>
      </w:r>
    </w:p>
    <w:p>
      <w:pPr>
        <w:pStyle w:val="Heading2"/>
      </w:pPr>
      <w:bookmarkStart w:id="34" w:name="databases"/>
      <w:bookmarkEnd w:id="34"/>
      <w:r>
        <w:t xml:space="preserve">3.1 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w:t>
      </w:r>
      <w:r>
        <w:t xml:space="preserve"> </w:t>
      </w:r>
      <w:r>
        <w:t xml:space="preserve">(2016)</w:t>
      </w:r>
      <w:r>
        <w:t xml:space="preserve"> </w:t>
      </w:r>
      <w:r>
        <w:t xml:space="preserve">respectively.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relative absolute), surviving dimensions, and the known and estimated number of interments, as well as tallies of the various artefact types recorded in the other two databases.</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extremely cautious about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w:t>
      </w:r>
    </w:p>
    <w:p>
      <w:pPr>
        <w:pStyle w:val="Heading2"/>
      </w:pPr>
      <w:bookmarkStart w:id="35" w:name="reproducibility-and-data-sharing"/>
      <w:bookmarkEnd w:id="35"/>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our academic output.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(or even digitisable) data from a number of recent articles and monographs is less pardonable.</w:t>
      </w:r>
    </w:p>
    <w:p>
      <w:pPr>
        <w:pStyle w:val="BodyText"/>
      </w:pPr>
      <w:r>
        <w:t xml:space="preserve">There are, of course, valid reservations regarding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hugely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(Marwick, 2017a, 2017b)</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following analysis. Though not visible in the present paper, every chart and table herein was produced directly, through written code, from the raw data using R (and note also that, wherever possible,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3.3 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659-60)</w:t>
      </w:r>
      <w:r>
        <w:t xml:space="preserve">, who took the number of pithoi (the most common urn) and the number of pithoi, amphorae and kraters (which were sometimes used as such) as middle and upper estimates of the number of burials, with all securely identified interments being the lower limit (Figure</w:t>
      </w:r>
      <w:r>
        <w:t xml:space="preserve"> </w:t>
      </w:r>
      <w:r>
        <w:t xml:space="preserve">??</w:t>
      </w:r>
      <w:r>
        <w:t xml:space="preserve">). Here, the mean of these three estimates was taken, to provide a single aggregate measure for the purposes of analysis.</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the most heavily damaged and looted tombs.</w:t>
      </w:r>
    </w:p>
    <w:p>
      <w:pPr>
        <w:pStyle w:val="Heading2"/>
      </w:pPr>
      <w:bookmarkStart w:id="38" w:name="aoristic-approaches-to-dating"/>
      <w:bookmarkEnd w:id="38"/>
      <w:r>
        <w:t xml:space="preserve">3.4 Aoristic Approaches to Dating</w:t>
      </w:r>
    </w:p>
    <w:p>
      <w:pPr>
        <w:pStyle w:val="FirstParagraph"/>
      </w:pPr>
      <w:r>
        <w:t xml:space="preserve">Another major concern was the temporal uncertainty implicit in the assigning of individual vessels to ceramic periods. A Protogeometric B vessel could, on our best estimates, date anywhere between 840 and 810 BC. This situation results in major challenges to the visualisation and analysis of such data. A simple, if coarse, solution is to take the midpoint of the range assigned to each vessel (i.e. 825 for our PGB example). This is used in a couple of instances in the present paper, for assigning vessels to broad, century-long windows.</w:t>
      </w:r>
    </w:p>
    <w:p>
      <w:pPr>
        <w:pStyle w:val="FigureWithCaption"/>
      </w:pPr>
      <w:r>
        <w:drawing>
          <wp:inline>
            <wp:extent cx="5943600" cy="2228850"/>
            <wp:effectExtent b="0" l="0" r="0" t="0"/>
            <wp:docPr descr="Figure 2: (Left) Counts of pithoi across both cemeteries through time. Vessel dates have here been based on the midpoint (or mean) of the absolute date range accompanying their respective ceramic periods. (Right) Aoristic sums of all vessels across both cemeteries. This represents a probabilistically weighted visualisation of depositional activity through time." title="" id="1" name="Picture"/>
            <a:graphic>
              <a:graphicData uri="http://schemas.openxmlformats.org/drawingml/2006/picture">
                <pic:pic>
                  <pic:nvPicPr>
                    <pic:cNvPr descr="../figures/allpithoi-1.jpeg" id="0" name="Picture"/>
                    <pic:cNvPicPr>
                      <a:picLocks noChangeArrowheads="1" noChangeAspect="1"/>
                    </pic:cNvPicPr>
                  </pic:nvPicPr>
                  <pic:blipFill>
                    <a:blip r:embed="rId39"/>
                    <a:stretch>
                      <a:fillRect/>
                    </a:stretch>
                  </pic:blipFill>
                  <pic:spPr bwMode="auto">
                    <a:xfrm>
                      <a:off x="0" y="0"/>
                      <a:ext cx="5943600" cy="2228850"/>
                    </a:xfrm>
                    <a:prstGeom prst="rect">
                      <a:avLst/>
                    </a:prstGeom>
                    <a:noFill/>
                    <a:ln w="9525">
                      <a:noFill/>
                      <a:headEnd/>
                      <a:tailEnd/>
                    </a:ln>
                  </pic:spPr>
                </pic:pic>
              </a:graphicData>
            </a:graphic>
          </wp:inline>
        </w:drawing>
      </w:r>
    </w:p>
    <w:p>
      <w:pPr>
        <w:pStyle w:val="ImageCaption"/>
      </w:pPr>
      <w:r>
        <w:t xml:space="preserve">Figure 2: (Left) Counts of pithoi across both cemeteries through time. Vessel dates have here been based on the midpoint (or mean) of the absolute date range accompanying their respective ceramic periods. (Right) Aoristic sums of all vessels across both cemeteries. This represents a probabilistically weighted visualisation of depositional activity through time.</w:t>
      </w:r>
    </w:p>
    <w:p>
      <w:pPr>
        <w:pStyle w:val="BodyText"/>
      </w:pPr>
      <w:r>
        <w:t xml:space="preserve">But the artificial clustering this technique engenders around select absolute dates can prove misleading, as in Figure</w:t>
      </w:r>
      <w:r>
        <w:t xml:space="preserve"> </w:t>
      </w:r>
      <w:r>
        <w:t xml:space="preserve">2</w:t>
      </w:r>
      <w:r>
        <w:t xml:space="preserve">; the apparent cessation of depositions in the 8th century is simply a fiction generated by the processing of the data.</w:t>
      </w:r>
    </w:p>
    <w:p>
      <w:pPr>
        <w:pStyle w:val="BodyText"/>
      </w:pPr>
      <w:r>
        <w:t xml:space="preserve">A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 would register a value of 0.33 for each of the three decades this encompasses.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450)</w:t>
      </w:r>
      <w:r>
        <w:t xml:space="preserve">.</w:t>
      </w:r>
    </w:p>
    <w:p>
      <w:pPr>
        <w:pStyle w:val="BodyText"/>
      </w:pPr>
      <w:r>
        <w:t xml:space="preserve">As seen in Figure</w:t>
      </w:r>
      <w:r>
        <w:t xml:space="preserve"> </w:t>
      </w:r>
      <w:r>
        <w:t xml:space="preserve">??</w:t>
      </w:r>
      <w:r>
        <w:t xml:space="preserve">, the artificial peaks and troughs of the simple averaging method are avoided, and different patterns become visible. Though these methods present their own limitations</w:t>
      </w:r>
      <w:r>
        <w:t xml:space="preserve"> </w:t>
      </w:r>
      <w:r>
        <w:t xml:space="preserve">(Crema et al., 2010: 1123-24)</w:t>
      </w:r>
      <w:r>
        <w:t xml:space="preserve">, they are considered a more robust and productive approach to the temporal uncertainty of ceramic dating.</w:t>
      </w:r>
    </w:p>
    <w:p>
      <w:pPr>
        <w:pStyle w:val="Heading1"/>
      </w:pPr>
      <w:bookmarkStart w:id="40" w:name="analysis"/>
      <w:bookmarkEnd w:id="40"/>
      <w:r>
        <w:t xml:space="preserve">4. Analysis</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artefact distributions,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1" w:name="temporal-developments-in-the-knossian-cemeteries"/>
      <w:bookmarkEnd w:id="41"/>
      <w:r>
        <w:t xml:space="preserve">4.1 Temporal Developments in the Knossian Cemeteries</w:t>
      </w:r>
    </w:p>
    <w:p>
      <w:pPr>
        <w:pStyle w:val="FirstParagraph"/>
      </w:pPr>
      <w:r>
        <w:t xml:space="preserve">An obvious place to begin is with the chronology of the burials themselves. The rate and quantity of interments through time provides the background against which to consider all other developments.</w:t>
      </w:r>
    </w:p>
    <w:p>
      <w:pPr>
        <w:pStyle w:val="FigureWithCaption"/>
      </w:pPr>
      <w:r>
        <w:drawing>
          <wp:inline>
            <wp:extent cx="5943600" cy="2600325"/>
            <wp:effectExtent b="0" l="0" r="0" t="0"/>
            <wp:docPr descr="Figure 3: Aoristic sums of pithoi (left), as a proxy for cremation burials, and of all vessels (right). The sums are colour coded to show the values of the two cemeteries, and the total values." title="" id="1" name="Picture"/>
            <a:graphic>
              <a:graphicData uri="http://schemas.openxmlformats.org/drawingml/2006/picture">
                <pic:pic>
                  <pic:nvPicPr>
                    <pic:cNvPr descr="../figures/aoristbycem-1.jpeg" id="0" name="Picture"/>
                    <pic:cNvPicPr>
                      <a:picLocks noChangeArrowheads="1" noChangeAspect="1"/>
                    </pic:cNvPicPr>
                  </pic:nvPicPr>
                  <pic:blipFill>
                    <a:blip r:embed="rId42"/>
                    <a:stretch>
                      <a:fillRect/>
                    </a:stretch>
                  </pic:blipFill>
                  <pic:spPr bwMode="auto">
                    <a:xfrm>
                      <a:off x="0" y="0"/>
                      <a:ext cx="5943600" cy="2600325"/>
                    </a:xfrm>
                    <a:prstGeom prst="rect">
                      <a:avLst/>
                    </a:prstGeom>
                    <a:noFill/>
                    <a:ln w="9525">
                      <a:noFill/>
                      <a:headEnd/>
                      <a:tailEnd/>
                    </a:ln>
                  </pic:spPr>
                </pic:pic>
              </a:graphicData>
            </a:graphic>
          </wp:inline>
        </w:drawing>
      </w:r>
    </w:p>
    <w:p>
      <w:pPr>
        <w:pStyle w:val="ImageCaption"/>
      </w:pPr>
      <w:r>
        <w:t xml:space="preserve">Figure 3: Aoristic sums of pithoi (left), as a proxy for cremation burials, and of all vessels (right). The sums are colour coded to show the values of the two cemeteries, and the total values.</w:t>
      </w:r>
    </w:p>
    <w:p>
      <w:pPr>
        <w:pStyle w:val="BodyText"/>
      </w:pPr>
      <w:r>
        <w:t xml:space="preserve">And, despite differences in scale and timing, it is immediately apparent from Figure</w:t>
      </w:r>
      <w:r>
        <w:t xml:space="preserve"> </w:t>
      </w:r>
      <w:r>
        <w:t xml:space="preserve">3</w:t>
      </w:r>
      <w:r>
        <w:t xml:space="preserve"> </w:t>
      </w:r>
      <w:r>
        <w:t xml:space="preserve">that Fortetsa and the KNC underwent similar chronological developments with regard to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trends would be mirrored in the construction of new tombs, but this proves not to be the case.</w:t>
      </w:r>
    </w:p>
    <w:p>
      <w:pPr>
        <w:pStyle w:val="FigureWithCaption"/>
      </w:pPr>
      <w:r>
        <w:drawing>
          <wp:inline>
            <wp:extent cx="5943600" cy="3169920"/>
            <wp:effectExtent b="0" l="0" r="0" t="0"/>
            <wp:docPr descr="Figure 4: Tomb construction through time at both cemeteries. On the left, counts are based on the ceramic phase considered most likely to correspond to the tomb’s first use (including simply PG, G and O where no greater specificity was possible). On the right, aoristic sums are presented, spreading the uncertainty associated with those general assignations. In both cases, tombs lacking any securely dateable pottery are excluded.Abbreviations: SM - Subminoan; (E/M/L)PG - (Early/Middle/Late) Protogeometric; PGB - Protogeometric B; (E/M/L)G - (Early/Middle/Late) Geometric; (E/L)O - (Early/Late) Orientalising"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4: Tomb construction through time at both cemeteries. On the left, counts are based on the ceramic phase considered most likely to correspond to the tomb’s first use (including simply</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On the right, aoristic sums are presented, spreading the uncertainty associated with those general assignations. In both cases, tombs lacking any securely dateable pottery are excluded.Abbreviations: SM - Subminoan; (E/M/L)PG - (Early/Middle/Late) Protogeometric; PGB - Protogeometric B; (E/M/L)G - (Early/Middle/Late) Geometric; (E/L)O - (Early/Late) Orientalising</w:t>
      </w:r>
    </w:p>
    <w:p>
      <w:pPr>
        <w:pStyle w:val="BodyText"/>
      </w:pPr>
      <w:r>
        <w:t xml:space="preserve">Figure</w:t>
      </w:r>
      <w:r>
        <w:t xml:space="preserve"> </w:t>
      </w:r>
      <w:r>
        <w:t xml:space="preserve">4</w:t>
      </w:r>
      <w:r>
        <w:t xml:space="preserve"> </w:t>
      </w:r>
      <w:r>
        <w:t xml:space="preserve">presents two ways of dating the construction of the tombs.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almost no new tomb construction from the 8th century onwards. This abatement has been noted before (Brock 1957: 4; Cavanagh 1996: 652–53) and somewhat implicitly read as evidence of restructuring of the funerary rite, if not a decline in the fortunes of the wider community. But this image of a waining investment in chamber tombs sits uneasily with the observable growth in mortuary activity.</w:t>
      </w:r>
    </w:p>
    <w:p>
      <w:pPr>
        <w:pStyle w:val="FigureWithCaption"/>
      </w:pPr>
      <w:r>
        <w:drawing>
          <wp:inline>
            <wp:extent cx="2743200" cy="2743200"/>
            <wp:effectExtent b="0" l="0" r="0" t="0"/>
            <wp:docPr descr="Figure 5: Estimates of the number of tombs in use during each of the ceramic phases attested in both cemetaries, based on counts of tombs yielding vessels of each period." title="" id="1" name="Picture"/>
            <a:graphic>
              <a:graphicData uri="http://schemas.openxmlformats.org/drawingml/2006/picture">
                <pic:pic>
                  <pic:nvPicPr>
                    <pic:cNvPr descr="../figures/tombsinuse-1.jpeg" id="0" name="Picture"/>
                    <pic:cNvPicPr>
                      <a:picLocks noChangeArrowheads="1" noChangeAspect="1"/>
                    </pic:cNvPicPr>
                  </pic:nvPicPr>
                  <pic:blipFill>
                    <a:blip r:embed="rId44"/>
                    <a:stretch>
                      <a:fillRect/>
                    </a:stretch>
                  </pic:blipFill>
                  <pic:spPr bwMode="auto">
                    <a:xfrm>
                      <a:off x="0" y="0"/>
                      <a:ext cx="2743200" cy="2743200"/>
                    </a:xfrm>
                    <a:prstGeom prst="rect">
                      <a:avLst/>
                    </a:prstGeom>
                    <a:noFill/>
                    <a:ln w="9525">
                      <a:noFill/>
                      <a:headEnd/>
                      <a:tailEnd/>
                    </a:ln>
                  </pic:spPr>
                </pic:pic>
              </a:graphicData>
            </a:graphic>
          </wp:inline>
        </w:drawing>
      </w:r>
    </w:p>
    <w:p>
      <w:pPr>
        <w:pStyle w:val="ImageCaption"/>
      </w:pPr>
      <w:r>
        <w:t xml:space="preserve">Figure 5: Estimates of the number of tombs in use during each of the ceramic phases attested in both cemetaries, based on counts of tombs yielding vessels of each period.</w:t>
      </w:r>
    </w:p>
    <w:p>
      <w:pPr>
        <w:pStyle w:val="BodyText"/>
      </w:pPr>
      <w:r>
        <w:t xml:space="preserve">These countervalent trends are observable too in the number of tombs receiving depositions in each period (Figure</w:t>
      </w:r>
      <w:r>
        <w:t xml:space="preserve"> </w:t>
      </w:r>
      <w:r>
        <w:t xml:space="preserve">5</w:t>
      </w:r>
      <w:r>
        <w:t xml:space="preserve">). At Fortetsa, this number remained relatively stable from the MPG to LG periods before declining (and bear in mind, there were only ever around 20 tombs belonging to this cemetery), while at the KNC, the number of tombs in use rose to a preak in the late 8th century before declining.</w:t>
      </w:r>
    </w:p>
    <w:p>
      <w:pPr>
        <w:pStyle w:val="FigureWithCaption"/>
      </w:pPr>
      <w:r>
        <w:drawing>
          <wp:inline>
            <wp:extent cx="5943600" cy="3396342"/>
            <wp:effectExtent b="0" l="0" r="0" t="0"/>
            <wp:docPr descr="Figure 6: Estimates of the number of tombs in use through time across both cemeteries. The grey background represents the total number of tombs in use, while the smaller coloured bars correspond to tombs built in each of the five centuries of EIA activity at the cemeteries."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6: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t xml:space="preserve">But the net increase in active tombs in the 8th century belies a more complex pattern (Figure</w:t>
      </w:r>
      <w:r>
        <w:t xml:space="preserve"> </w:t>
      </w:r>
      <w:r>
        <w:t xml:space="preserve">6</w:t>
      </w:r>
      <w:r>
        <w:t xml:space="preserve">). By dividing the tombs in use into the centuries during which they were built, we see a wave-like pattern with each cohort steadily going out of use as new ones were constructed. This would seem to accord with Cavanagh’s (1996: 659)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w:t>
      </w:r>
    </w:p>
    <w:p>
      <w:pPr>
        <w:pStyle w:val="FigureWithCaption"/>
      </w:pPr>
      <w:r>
        <w:drawing>
          <wp:inline>
            <wp:extent cx="2743200" cy="6400800"/>
            <wp:effectExtent b="0" l="0" r="0" t="0"/>
            <wp:docPr descr="Figure 7: Counts of vessels from all tombs in both cemeteries, arranged, above, by the century to which they are assigned based on their ceramic period and, below, by the centuries in which the tombs they come from were built."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6"/>
                    <a:stretch>
                      <a:fillRect/>
                    </a:stretch>
                  </pic:blipFill>
                  <pic:spPr bwMode="auto">
                    <a:xfrm>
                      <a:off x="0" y="0"/>
                      <a:ext cx="2743200" cy="6400800"/>
                    </a:xfrm>
                    <a:prstGeom prst="rect">
                      <a:avLst/>
                    </a:prstGeom>
                    <a:noFill/>
                    <a:ln w="9525">
                      <a:noFill/>
                      <a:headEnd/>
                      <a:tailEnd/>
                    </a:ln>
                  </pic:spPr>
                </pic:pic>
              </a:graphicData>
            </a:graphic>
          </wp:inline>
        </w:drawing>
      </w:r>
    </w:p>
    <w:p>
      <w:pPr>
        <w:pStyle w:val="ImageCaption"/>
      </w:pPr>
      <w:r>
        <w:t xml:space="preserve">Figure 7: Counts of vessels from all tombs in both cemeteries, arranged, above, by the century to which they are assigned based on their ceramic period and, below, by the centuries in which the tombs they come from were built.</w:t>
      </w:r>
    </w:p>
    <w:p>
      <w:pPr>
        <w:pStyle w:val="BodyText"/>
      </w:pPr>
      <w:r>
        <w:t xml:space="preserve">However, we see from Figure</w:t>
      </w:r>
      <w:r>
        <w:t xml:space="preserve"> </w:t>
      </w:r>
      <w:r>
        <w:t xml:space="preserve">7</w:t>
      </w:r>
      <w:r>
        <w:t xml:space="preserve"> </w:t>
      </w:r>
      <w:r>
        <w:t xml:space="preserve">that, although the late 8th and early 7th centuries represented the apex of burial activity across both cemeteries, it was tombs built back in the 9th and 10th which received the lion’s share of the burials and associated ceramics. This is all the more notable when, as seen in Figure</w:t>
      </w:r>
      <w:r>
        <w:t xml:space="preserve"> </w:t>
      </w:r>
      <w:r>
        <w:t xml:space="preserve">6</w:t>
      </w:r>
      <w:r>
        <w:t xml:space="preserve">, they were, at this time, declining in number.</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respectively. For each of the centuries the tombs were in use (column two), counts of pithoi (column three) are divided by the number of tombs from which these vessels came (column 4), allowing calculation of the changing rate of burial through time (column five).</w:t>
      </w:r>
    </w:p>
    <w:p>
      <w:pPr>
        <w:pStyle w:val="BodyText"/>
      </w:pPr>
      <w:r>
        <w:t xml:space="preserve">The significance of these findings can be seen in Table 1. Using pithoi as a proxy for burials, we can estimate the changing rates of burial through time. And while these mostly remained around three per tomb per century, in the 8th and 7th centuries, tombs founded in the 9th century saw a rapid rise in the rate of burial, peaking at over 11 per tomb per century. Though no doubt rough estimates,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are, for instance, the direct result of population growth; the increase is too rapid, and concentrated only in older tombs, while, based on KULP’s survey data, the major population increase at EIA Knossos probably occurred back in the Protogeometric period (Whitelaw, pers. comm.).</w:t>
      </w:r>
    </w:p>
    <w:p>
      <w:pPr>
        <w:pStyle w:val="Heading2"/>
      </w:pPr>
      <w:bookmarkStart w:id="47" w:name="isolating-the-phenomenon"/>
      <w:bookmarkEnd w:id="47"/>
      <w:r>
        <w:t xml:space="preserve">4.2 Isolating the Phenomenon</w:t>
      </w:r>
    </w:p>
    <w:p>
      <w:pPr>
        <w:pStyle w:val="FirstParagraph"/>
      </w:pPr>
      <w:r>
        <w:t xml:space="preserve">We are yet to draw out which older tombs precisely are responsible for the trend so far discussed. We might assume those which became the focus of such intense later burial activity would end up yielding the most burials and grave goods when excavated and, happily, this supposition proves true.</w:t>
      </w:r>
    </w:p>
    <w:p>
      <w:pPr>
        <w:pStyle w:val="FigureWithCaption"/>
      </w:pPr>
      <w:r>
        <w:drawing>
          <wp:inline>
            <wp:extent cx="5943600" cy="4245428"/>
            <wp:effectExtent b="0" l="0" r="0" t="0"/>
            <wp:docPr descr="Figure 8: Aoristic sums for the 12 tombs with the largest ceramic assemblages, arranged in decreasing order. Note, for the sake of better illustrating the relative temporal patterns, rather than absolute values, the scales on each plot are distinct." title="" id="1" name="Picture"/>
            <a:graphic>
              <a:graphicData uri="http://schemas.openxmlformats.org/drawingml/2006/picture">
                <pic:pic>
                  <pic:nvPicPr>
                    <pic:cNvPr descr="../figures/toptombs-1.jpe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8: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t xml:space="preserve">The 12 tombs with the most associated vessels are all chamber tombs, 10 dating to the 9th century and two to the 10th, and seven of them did exhibit late, intense episodes of deposition (Figure</w:t>
      </w:r>
      <w:r>
        <w:t xml:space="preserve"> </w:t>
      </w:r>
      <w:r>
        <w:t xml:space="preserve">8</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w:t>
      </w:r>
    </w:p>
    <w:p>
      <w:pPr>
        <w:pStyle w:val="FigureWithCaption"/>
      </w:pPr>
      <w:r>
        <w:drawing>
          <wp:inline>
            <wp:extent cx="5943600" cy="2971800"/>
            <wp:effectExtent b="0" l="0" r="0" t="0"/>
            <wp:docPr descr="Figure 9: Aoristic sums for the Group A and Group B tombs, as defined above." title="" id="1" name="Picture"/>
            <a:graphic>
              <a:graphicData uri="http://schemas.openxmlformats.org/drawingml/2006/picture">
                <pic:pic>
                  <pic:nvPicPr>
                    <pic:cNvPr descr="../figures/groupsab-1.jpeg" id="0" name="Picture"/>
                    <pic:cNvPicPr>
                      <a:picLocks noChangeArrowheads="1" noChangeAspect="1"/>
                    </pic:cNvPicPr>
                  </pic:nvPicPr>
                  <pic:blipFill>
                    <a:blip r:embed="rId4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9: Aoristic sums for the Group A and Group B tombs, as defined above.</w:t>
      </w:r>
    </w:p>
    <w:p>
      <w:pPr>
        <w:pStyle w:val="BodyText"/>
      </w:pPr>
      <w:r>
        <w:t xml:space="preserve">Interestingly, Tombs X, G, Q, 219 and 283 (</w:t>
      </w:r>
      <w:r>
        <w:t xml:space="preserve">‘</w:t>
      </w:r>
      <w:r>
        <w:t xml:space="preserve">Group B</w:t>
      </w:r>
      <w:r>
        <w:t xml:space="preserve">’</w:t>
      </w:r>
      <w:r>
        <w:t xml:space="preserve">) evince a different pattern, with their respective peaks coming around a century earlier, another period of increased burial activity. So despite receiving the greatest quantities of burials and grave goods, these tombs nonetheless seem to have achieved that distinction via quite different histories, a divergence made clear in Figure</w:t>
      </w:r>
      <w:r>
        <w:t xml:space="preserve"> </w:t>
      </w:r>
      <w:r>
        <w:t xml:space="preserve">9</w:t>
      </w:r>
      <w:r>
        <w:t xml:space="preserve">. It is notable that tombs assinged to each group are seen in both cemeteries, suggesting from the outset that the differences between these may speak to social forces operating across the Knossian community.</w:t>
      </w:r>
    </w:p>
    <w:p>
      <w:pPr>
        <w:pStyle w:val="Heading2"/>
      </w:pPr>
      <w:bookmarkStart w:id="50" w:name="not-all-tombs-are-created-equal"/>
      <w:bookmarkEnd w:id="50"/>
      <w:r>
        <w:t xml:space="preserve">4.3 Not All Tombs are Created Equal</w:t>
      </w:r>
    </w:p>
    <w:p>
      <w:pPr>
        <w:pStyle w:val="FirstParagraph"/>
      </w:pPr>
      <w:r>
        <w:t xml:space="preserve">Having addressed some broad diachronic trends, let us now attempt some more synchronic comparisons, beginning with the physical dimensions of the tombs as built - a potentially rich context for the negotiation of social power and group membership. Perhaps the most bountiful tombs were also physically the largest, assertions of status embodied by the man-power invested in their construction.</w:t>
      </w:r>
    </w:p>
    <w:p>
      <w:pPr>
        <w:pStyle w:val="FigureWithCaption"/>
      </w:pPr>
      <w:r>
        <w:drawing>
          <wp:inline>
            <wp:extent cx="5943600" cy="5943600"/>
            <wp:effectExtent b="0" l="0" r="0" t="0"/>
            <wp:docPr descr="Figure 10: Boxplots comparing various tomb dimensions, divided, in each case, by the century of tomb construction." title="" id="1" name="Picture"/>
            <a:graphic>
              <a:graphicData uri="http://schemas.openxmlformats.org/drawingml/2006/picture">
                <pic:pic>
                  <pic:nvPicPr>
                    <pic:cNvPr descr="../figures/dimensionsboxplots-1.jpe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Boxplots comparing various tomb dimensions, divided, in each case, by the century of tomb construction.</w:t>
      </w:r>
    </w:p>
    <w:p>
      <w:pPr>
        <w:pStyle w:val="BodyText"/>
      </w:pPr>
      <w:r>
        <w:t xml:space="preserve">In Figure</w:t>
      </w:r>
      <w:r>
        <w:t xml:space="preserve"> </w:t>
      </w:r>
      <w:r>
        <w:t xml:space="preserve">10</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their chambers were, on average, larger, as well as exhibiting greater variation than at any other time. But then again, even the largest chambers are not exactly cavernous, and the extra labour expended would have been limited. The</w:t>
      </w:r>
      <w:r>
        <w:t xml:space="preserve"> </w:t>
      </w:r>
      <w:r>
        <w:rPr>
          <w:i/>
        </w:rPr>
        <w:t xml:space="preserve">dromos</w:t>
      </w:r>
      <w:r>
        <w:t xml:space="preserve"> </w:t>
      </w:r>
      <w:r>
        <w:t xml:space="preserve">is a plausible area for conspicuous demonstrations of scale but, with their frequently poor preservation, little confidence is possible. It appears at any rate that they were gradually shrinking, albeit with some notable outliers.</w:t>
      </w:r>
    </w:p>
    <w:p>
      <w:pPr>
        <w:pStyle w:val="FigureWithCaption"/>
      </w:pPr>
      <w:r>
        <w:drawing>
          <wp:inline>
            <wp:extent cx="3200400" cy="3200400"/>
            <wp:effectExtent b="0" l="0" r="0" t="0"/>
            <wp:docPr descr="Figure 11: Scatterplot comparing the dimensions of* dromos *length and chamber area. Groups A and B, defined earlier, are illustrated and labelled in green and orange respectively, while all remaining tombs (Group C) are in blue."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2"/>
                    <a:stretch>
                      <a:fillRect/>
                    </a:stretch>
                  </pic:blipFill>
                  <pic:spPr bwMode="auto">
                    <a:xfrm>
                      <a:off x="0" y="0"/>
                      <a:ext cx="3200400" cy="3200400"/>
                    </a:xfrm>
                    <a:prstGeom prst="rect">
                      <a:avLst/>
                    </a:prstGeom>
                    <a:noFill/>
                    <a:ln w="9525">
                      <a:noFill/>
                      <a:headEnd/>
                      <a:tailEnd/>
                    </a:ln>
                  </pic:spPr>
                </pic:pic>
              </a:graphicData>
            </a:graphic>
          </wp:inline>
        </w:drawing>
      </w:r>
    </w:p>
    <w:p>
      <w:pPr>
        <w:pStyle w:val="ImageCaption"/>
      </w:pPr>
      <w:r>
        <w:t xml:space="preserve">Figure 11: Scatterplot comparing the dimensions of* dromos *length and chamber area. Groups A and B, defined earlier, are illustrated and labelled in green and orange respectively, while all remaining tombs (</w:t>
      </w:r>
      <w:r>
        <w:t xml:space="preserve">‘</w:t>
      </w:r>
      <w:r>
        <w:t xml:space="preserve">Group C</w:t>
      </w:r>
      <w:r>
        <w:t xml:space="preserve">’</w:t>
      </w:r>
      <w:r>
        <w:t xml:space="preserve">) are in blue.</w:t>
      </w:r>
    </w:p>
    <w:p>
      <w:pPr>
        <w:pStyle w:val="BodyText"/>
      </w:pPr>
      <w:r>
        <w:t xml:space="preserve">Looking more specifically at the tombs of Groups A and B, against the backdrop of the other 10th and 9th century tombs, there are perhaps hints of differentiation. All of them fall within the top 50% based on chamber area, and three have exceptionally long</w:t>
      </w:r>
      <w:r>
        <w:t xml:space="preserve"> </w:t>
      </w:r>
      <w:r>
        <w:rPr>
          <w:i/>
        </w:rPr>
        <w:t xml:space="preserve">dromoi</w:t>
      </w:r>
      <w:r>
        <w:t xml:space="preserve">. But, later destruction notwithstanding, there appears nothing systematic about the variation visible here. If the size of one’s tomb was intended to evoke or assert ideas of wealth or status, this appears to have occurred on a largely independent basis.</w:t>
      </w:r>
    </w:p>
    <w:p>
      <w:pPr>
        <w:pStyle w:val="FigureWithCaption"/>
      </w:pPr>
      <w:r>
        <w:drawing>
          <wp:inline>
            <wp:extent cx="5943600" cy="3169920"/>
            <wp:effectExtent b="0" l="0" r="0" t="0"/>
            <wp:docPr descr="Figure 12: Scatterplots comparing tomb dimensions (chamber area and* dromos *length) to the estimated total number of burials by tomb. The points area colour-coded as per Figure 12."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3"/>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t xml:space="preserve">Figure 12: Scatterplots comparing tomb dimensions (chamber area and* dromos *length) to the estimated total number of burials by tomb. The points area colour-coded as per Figure 12.</w:t>
      </w:r>
    </w:p>
    <w:p>
      <w:pPr>
        <w:pStyle w:val="BodyText"/>
      </w:pPr>
      <w:r>
        <w:t xml:space="preserve">What we can say is that no clear relationship existed between the dimensions of a tomb and its eventual buried population (see Figure</w:t>
      </w:r>
      <w:r>
        <w:t xml:space="preserve"> </w:t>
      </w:r>
      <w:r>
        <w:t xml:space="preserve">12</w:t>
      </w:r>
      <w:r>
        <w:t xml:space="preserve">). Many of the very largest tombs are middling when it comes to burial numbers, and vice versa. So whatever the scale of the tombs connoted when built, this proved irrelevant to their later reuse. Several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(including T. 292, 283 and 107; Cavanagh 1996: 658) and, sometimes, urns from within the chamber were relocated to make space for new interments (including T. 75 and TFT; ibid.: 658; Brock 1957: 3–4). The impression is of competition for inclusion into the sepulchral group, further confirming that the tombs’ original builders little anticipated their eventual popularity.</w:t>
      </w:r>
    </w:p>
    <w:p>
      <w:pPr>
        <w:pStyle w:val="Heading2"/>
      </w:pPr>
      <w:bookmarkStart w:id="54" w:name="imports-interments-and-indices-of-wealth"/>
      <w:bookmarkEnd w:id="54"/>
      <w:r>
        <w:t xml:space="preserve">4.4 Imports, Interments, and Indices of Wealth</w:t>
      </w:r>
    </w:p>
    <w:p>
      <w:pPr>
        <w:pStyle w:val="FirstParagraph"/>
      </w:pPr>
      <w:r>
        <w:t xml:space="preserve">Dimensions aside, we can investigate the contemporary use of these tombs through comparisons between the scale and composition of their respective assemblages through time.</w:t>
      </w:r>
    </w:p>
    <w:p>
      <w:pPr>
        <w:pStyle w:val="FigureWithCaption"/>
      </w:pPr>
      <w:r>
        <w:drawing>
          <wp:inline>
            <wp:extent cx="5943600" cy="3396342"/>
            <wp:effectExtent b="0" l="0" r="0" t="0"/>
            <wp:docPr descr="Figure 13: Counts of vessels dating to the 9th, 8th and 7th centuries respectively, found in tombs built in the 10th or 9th century which yielded upwards of 50 vessels when excavated." title="" id="1" name="Picture"/>
            <a:graphic>
              <a:graphicData uri="http://schemas.openxmlformats.org/drawingml/2006/picture">
                <pic:pic>
                  <pic:nvPicPr>
                    <pic:cNvPr descr="../figures/tombscompthroughtime-1.jpe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Counts of vessels dating to the 9th, 8th and 7th centuries respectively, found in tombs built in the 10th or 9th century which yielded upwards of 50 vessels when excavated.</w:t>
      </w:r>
    </w:p>
    <w:p>
      <w:pPr>
        <w:pStyle w:val="BodyText"/>
      </w:pPr>
      <w:r>
        <w:t xml:space="preserve">And in Figure</w:t>
      </w:r>
      <w:r>
        <w:t xml:space="preserve"> </w:t>
      </w:r>
      <w:r>
        <w:t xml:space="preserve">13</w:t>
      </w:r>
      <w:r>
        <w:t xml:space="preserve">, we see that the tombs of Group A, while not paultry in the 9th century, were by no means exceptional. They clearly kept pace with the other popular tombs of the time, but their major divergence only occurred in the subsequent two hundred years. Group B, meanwhile, experienced similar, if not greater, use in the 9th century, and then gradually declined. That is, these tombs seem to have followed a more conventional trajectory viz. Figure</w:t>
      </w:r>
      <w:r>
        <w:t xml:space="preserve"> </w:t>
      </w:r>
      <w:r>
        <w:t xml:space="preserve">6</w:t>
      </w:r>
      <w:r>
        <w:t xml:space="preserve">. What might account for this disparity? And if the patterns implied in Figure</w:t>
      </w:r>
      <w:r>
        <w:t xml:space="preserve"> </w:t>
      </w:r>
      <w:r>
        <w:t xml:space="preserve">13</w:t>
      </w:r>
      <w:r>
        <w:t xml:space="preserve"> </w:t>
      </w:r>
      <w:r>
        <w:t xml:space="preserve">- relative diversity, giving way to effective bipolarity in depositions - are genuine, how might we further investigate their manifestations across the excavated assemblage?</w:t>
      </w:r>
    </w:p>
    <w:p>
      <w:pPr>
        <w:pStyle w:val="Heading2"/>
      </w:pPr>
      <w:bookmarkStart w:id="56" w:name="a-tale-of-two-periods"/>
      <w:bookmarkEnd w:id="56"/>
      <w:r>
        <w:t xml:space="preserve">4.5 A Tale of Two Periods</w:t>
      </w:r>
    </w:p>
    <w:p>
      <w:pPr>
        <w:pStyle w:val="FigureWithCaption"/>
      </w:pPr>
      <w:r>
        <w:drawing>
          <wp:inline>
            <wp:extent cx="5943600" cy="3396342"/>
            <wp:effectExtent b="0" l="0" r="0" t="0"/>
            <wp:docPr descr="Figure 14: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 title="" id="1" name="Picture"/>
            <a:graphic>
              <a:graphicData uri="http://schemas.openxmlformats.org/drawingml/2006/picture">
                <pic:pic>
                  <pic:nvPicPr>
                    <pic:cNvPr descr="../figures/bigbox-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t xml:space="preserve">Figure</w:t>
      </w:r>
      <w:r>
        <w:t xml:space="preserve"> </w:t>
      </w:r>
      <w:r>
        <w:t xml:space="preserve">14</w:t>
      </w:r>
      <w:r>
        <w:t xml:space="preserve"> </w:t>
      </w:r>
      <w:r>
        <w:t xml:space="preserve">is a boxplot of the total aoristic sums across both cemeteries, colour-coded by ceramic phase. Looking at the PGB and EG, we see that they have the largest interquartile ranges (IQRs) of any period, and only a single outlier (beyond 1.5 times the IQR) each. The Orientalising period, on the other hand, exhibits much reduced IQRs, and a proliferation of outliers (namely, Group A) far and above the range of the other tombs. In other words, whilst both the PGB-EG and EO-LO periods witnessed an expanding volume of burial activity, in the earlier period this was distributed far more evenly across all tombs. One speaks of increasing plurality, the other of divergence.</w:t>
      </w:r>
    </w:p>
    <w:p>
      <w:pPr>
        <w:pStyle w:val="FigureWithCaption"/>
      </w:pPr>
      <w:r>
        <w:drawing>
          <wp:inline>
            <wp:extent cx="5943600" cy="3396342"/>
            <wp:effectExtent b="0" l="0" r="0" t="0"/>
            <wp:docPr descr="Figure 15: Gini coefficient values through time based on the aoristic sums for all vessels across both cemeteries. Background colours correspond to ceramic periods." title="" id="1" name="Picture"/>
            <a:graphic>
              <a:graphicData uri="http://schemas.openxmlformats.org/drawingml/2006/picture">
                <pic:pic>
                  <pic:nvPicPr>
                    <pic:cNvPr descr="../figures/gini-1.jpe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Gini coefficient values through time based on the aoristic sums for all vessels across both cemeteries. Background colours correspond to ceramic periods.</w:t>
      </w:r>
    </w:p>
    <w:p>
      <w:pPr>
        <w:pStyle w:val="BodyText"/>
      </w:pPr>
      <w:r>
        <w:t xml:space="preserve">This characterisation is supported further by considering the Gini coefficient for the distribution of pottery between the tombs (see Figure</w:t>
      </w:r>
      <w:r>
        <w:t xml:space="preserve"> </w:t>
      </w:r>
      <w:r>
        <w:t xml:space="preserve">15</w:t>
      </w:r>
      <w:r>
        <w:t xml:space="preserve">). Using aoristic sums as a probablistically-weighted estimate of the volume of material deposited in each tomb in each decade,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plateau of the PGB-EG.</w:t>
      </w:r>
    </w:p>
    <w:p>
      <w:pPr>
        <w:pStyle w:val="BodyText"/>
      </w:pPr>
      <w:r>
        <w:t xml:space="preserve">This is not to suggest that the late 9th to early 8th century#ies was a time of egalitarian burial practices. The PGB and EG are consistently interpreted as periods of artistic development, increased overseas trade, and renewed vigour in the construction of tombs and the visibility of the burial rite</w:t>
      </w:r>
      <w:r>
        <w:t xml:space="preserve"> </w:t>
      </w:r>
      <w:r>
        <w:t xml:space="preserve">(Brock, 1957: 143-44; Coldstream, 1994: 110-12)</w:t>
      </w:r>
      <w:r>
        <w:t xml:space="preserv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6: Aoristic sums of imported and oriental imitation vessels through time across both cemeteries, colour-coded by regional origin in the case of imports." title="" id="1" name="Picture"/>
            <a:graphic>
              <a:graphicData uri="http://schemas.openxmlformats.org/drawingml/2006/picture">
                <pic:pic>
                  <pic:nvPicPr>
                    <pic:cNvPr descr="../figures/imports-1.jpe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Aoristic sums of imported and</w:t>
      </w:r>
      <w:r>
        <w:t xml:space="preserve"> </w:t>
      </w:r>
      <w:r>
        <w:t xml:space="preserve">‘</w:t>
      </w:r>
      <w:r>
        <w:t xml:space="preserve">oriental</w:t>
      </w:r>
      <w:r>
        <w:t xml:space="preserve">’</w:t>
      </w:r>
      <w:r>
        <w:t xml:space="preserve"> </w:t>
      </w:r>
      <w:r>
        <w:t xml:space="preserve">imitation vessels through time across both cemeteries, colour-coded by regional origin in the case of imports.</w:t>
      </w:r>
    </w:p>
    <w:p>
      <w:pPr>
        <w:pStyle w:val="BodyText"/>
      </w:pPr>
      <w:r>
        <w:t xml:space="preserve">The rise in imported items is readily observable, with a succession of Greek and Near Eastern imports in the late 9th and early 8th centuries (Figure</w:t>
      </w:r>
      <w:r>
        <w:t xml:space="preserve"> </w:t>
      </w:r>
      <w:r>
        <w:t xml:space="preserve">16</w:t>
      </w:r>
      <w:r>
        <w:t xml:space="preserve">). Likewise, the decline in Near Eastern imports, and concomitant rise in locally-made imitations thereof, is visible at the end of the 8th century. These trends being a very coarse proxy for its engagement with the wider Mediterranean, the late 9th and early 8th centuries would seem to encompass the most outward- (certainly,eastward-) looking phase of the EIA Knossian community</w:t>
      </w:r>
      <w:r>
        <w:t xml:space="preserve"> </w:t>
      </w:r>
      <w:r>
        <w:t xml:space="preserve">(see Whitley, 2004: 434)</w:t>
      </w:r>
      <w:r>
        <w:t xml:space="preserve">.</w:t>
      </w:r>
    </w:p>
    <w:p>
      <w:pPr>
        <w:pStyle w:val="BodyText"/>
      </w:pPr>
      <w:r>
        <w:t xml:space="preserve">In the Group B tombs, with their more limited flourescence centred on the PGB-EG periods, imported items constitute 11.24% of the total excavated assemblage, compared to 5% in Group C and 4.92% in Group A. Indeed, among 7th century vessels, when interments were higher than ever among Group A, the figure is a mere 1.36%. The impression grows stronger that the context for the late proliferation of burials in the Group A tombs was altogether different from that underpinning the comparative, competitive diversity of interments a century earlier.</w:t>
      </w:r>
    </w:p>
    <w:p>
      <w:pPr>
        <w:pStyle w:val="FigureWithCaption"/>
      </w:pPr>
      <w:r>
        <w:drawing>
          <wp:inline>
            <wp:extent cx="5943600" cy="3396342"/>
            <wp:effectExtent b="0" l="0" r="0" t="0"/>
            <wp:docPr descr="Figure 17: The composition of the total pottery assemblage for each century across both cemeteries, and among the 7 notable tombs (Group A) drawn out earlier in the analysis." title="" id="1" name="Picture"/>
            <a:graphic>
              <a:graphicData uri="http://schemas.openxmlformats.org/drawingml/2006/picture">
                <pic:pic>
                  <pic:nvPicPr>
                    <pic:cNvPr descr="../figures/comps-1.jpe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The composition of the total pottery assemblage for each century across both cemeteries, and among the 7 notable tombs (Group A) drawn out earlier in the analysis.</w:t>
      </w:r>
    </w:p>
    <w:p>
      <w:pPr>
        <w:pStyle w:val="BodyText"/>
      </w:pPr>
      <w:r>
        <w:t xml:space="preserve">This is reflected further in the changing composition of the mortuary assemblage through time (Figure</w:t>
      </w:r>
      <w:r>
        <w:t xml:space="preserve"> </w:t>
      </w:r>
      <w:r>
        <w:t xml:space="preserve">17</w:t>
      </w:r>
      <w:r>
        <w:t xml:space="preserve">). Across both cemeteries, there appears to have been the steady crystallisation of a basic</w:t>
      </w:r>
      <w:r>
        <w:t xml:space="preserve"> </w:t>
      </w:r>
      <w:r>
        <w:t xml:space="preserve">‘</w:t>
      </w:r>
      <w:r>
        <w:t xml:space="preserve">burial kit</w:t>
      </w:r>
      <w:r>
        <w:t xml:space="preserve">’</w:t>
      </w:r>
      <w:r>
        <w:t xml:space="preserve">, comprising a pithos and lid, an oil vessel or two,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and more - declines to become a near insignificant part of the standardised repertoire of the 7th century. The tombs of Group A did not break this mould, and their assemblages seem largely as conventional as any other by this time.</w:t>
      </w:r>
    </w:p>
    <w:p>
      <w:pPr>
        <w:pStyle w:val="BodyText"/>
      </w:pPr>
      <w:r>
        <w:t xml:space="preserve">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a relatively strong (Spearman’s ρ=0.72) correlation between the number of ceramic and non-ceramic finds across the tombs, and, certainly, many of the most seemingly precious objects were recovered from among the tombs with the most burials.</w:t>
      </w:r>
    </w:p>
    <w:p>
      <w:pPr>
        <w:pStyle w:val="FigureWithCaption"/>
      </w:pPr>
      <w:r>
        <w:drawing>
          <wp:inline>
            <wp:extent cx="5943600" cy="3962400"/>
            <wp:effectExtent b="0" l="0" r="0" t="0"/>
            <wp:docPr descr="Figure 18: Histograms corresponding, first, to counts of jewellery (beads, necklaces, rings, diadems etc.), metal objects, and imported items by tomb across both cemeteries and, secondly, to those counts divided by the estimated number of burials in each tomb." title="" id="1" name="Picture"/>
            <a:graphic>
              <a:graphicData uri="http://schemas.openxmlformats.org/drawingml/2006/picture">
                <pic:pic>
                  <pic:nvPicPr>
                    <pic:cNvPr descr="../figures/hists-1.jpeg" id="0"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18: Histograms corresponding, first, to counts of jewellery (beads, necklaces, rings, diadems etc.), metal objects, and imported items by tomb across both cemeteries and, secondly, to those counts divided by the estimated number of burials in each tomb.</w:t>
      </w:r>
    </w:p>
    <w:p>
      <w:pPr>
        <w:pStyle w:val="BodyText"/>
      </w:pPr>
      <w:r>
        <w:t xml:space="preserve">But this association,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objects is divided by the number of burials represented. This fact has seldom, if ever, been appreciated in prior discussions of the cemeteries (Figure</w:t>
      </w:r>
      <w:r>
        <w:t xml:space="preserve"> </w:t>
      </w:r>
      <w:r>
        <w:t xml:space="preserve">18</w:t>
      </w:r>
      <w:r>
        <w:t xml:space="preserve">). Whitley (2004: 437) has pointed out that the proportions of different decorative styles of Orientalising pithoi in Tomb P are replicated across Fortetsa as a whole, but it seems this situation may apply across most artefact classes. If so, the late surge in burial activity at both Fortetsa and the KNC was not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many of the most-used tombs prove exceptional only in their absolute quantities of artefacts, and not the accoutrements of each individual burial. This fact has seldom been appreciated in prior discussions of the cemeteries.</w:t>
      </w:r>
    </w:p>
    <w:p>
      <w:pPr>
        <w:pStyle w:val="Heading1"/>
      </w:pPr>
      <w:bookmarkStart w:id="62" w:name="discussion"/>
      <w:bookmarkEnd w:id="62"/>
      <w:r>
        <w:t xml:space="preserve">5. Discussion</w:t>
      </w:r>
    </w:p>
    <w:p>
      <w:pPr>
        <w:pStyle w:val="FirstParagraph"/>
      </w:pPr>
      <w:r>
        <w:t xml:space="preserve">To summarise, towards the end of 8th century BC, a select group of tombs, all built back in the 9th or 10th, became the foci of a major increase in burials which didn’t register among the tombs built during that time. Little about the physical dimensions or early use of these tombs presaged their later popularity, while a similar, if smaller, increase in burial activity around a century earlier, in the PGB-EG periods, contrasted in the comparative diversity and broader distribution of its associated assemblages.</w:t>
      </w:r>
    </w:p>
    <w:p>
      <w:pPr>
        <w:pStyle w:val="BodyText"/>
      </w:pPr>
      <w:r>
        <w:t xml:space="preserve">It remains to consider how we might characterise the burying groups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We should take this possibility seriously, for one need only look at Tomb P in the 7th century to see that we cannot possibly be dealing with just immediate families.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that there is an often underappreciated degree of diversity in the offices, institutions, and social groups of the early city-states.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apparently differ in form or function.</w:t>
      </w:r>
    </w:p>
    <w:p>
      <w:pPr>
        <w:pStyle w:val="BodyText"/>
      </w:pPr>
      <w:r>
        <w:t xml:space="preserve">My aim, however, is not to draw a simple parallel between the Knossian burial groups and, say, powerful</w:t>
      </w:r>
      <w:r>
        <w:t xml:space="preserve"> </w:t>
      </w:r>
      <w:r>
        <w:rPr>
          <w:i/>
        </w:rPr>
        <w:t xml:space="preserve">startoi</w:t>
      </w:r>
      <w:r>
        <w:t xml:space="preserve">, a term not even attested outside of Gortyn in this period (ibid: 1-2). The fundamental conclusion of the disucussed contrasts between the late 9th and late 8th centuries, between the Group A and B tombs, is not that the burying groups changed, as such, it is that wider socio-economic and political contexts did, in ways which prompted reformulations of funerary practice, one of which being the intense, iterative burial activity evinced by the patrons of the Group A tombs. Such inferences,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some aspects of the noted expansion in the burying population seem explicable within a model like Morris’s. The basic principle, of elites employing access to burial as a strategic act of association and social signalling, is almost certainly in evidence here. That the noted spate of burials in the late 8th and early 7th centuries was concentrated solely in older tombs strongly implies that issues of heritage, lineage, and tradition were at play. In Tomb 107, the stratigraphy of the niches cut into the</w:t>
      </w:r>
      <w:r>
        <w:t xml:space="preserve"> </w:t>
      </w:r>
      <w:r>
        <w:rPr>
          <w:i/>
        </w:rPr>
        <w:t xml:space="preserve">dromos</w:t>
      </w:r>
      <w:r>
        <w:t xml:space="preserve"> </w:t>
      </w:r>
      <w:r>
        <w:t xml:space="preserve">suggest depositions continued to be made even after the main chamber fell into disrepair</w:t>
      </w:r>
      <w:r>
        <w:t xml:space="preserve"> </w:t>
      </w:r>
      <w:r>
        <w:t xml:space="preserve">(Coldstream and Catling, 1996: 150)</w:t>
      </w:r>
      <w:r>
        <w:t xml:space="preserve">; it is the symbolic and associative, rather than physical qualities of these tombs seem instrumental to their extensive reuse.</w:t>
      </w:r>
    </w:p>
    <w:p>
      <w:pPr>
        <w:pStyle w:val="BodyText"/>
      </w:pPr>
      <w:r>
        <w:t xml:space="preserve">Other features sit less easily with a Morrissian reading of the evidence, though. Firstly, the burials at issue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in chamber dimensions and relatively broad distribution of (local and imported) grave goods, not to mention the innovative ceramic decoration and reuse of BA artefacts. In both the late 9th and late 8th centuries, then, certain burying groups found it propitious to broaden access to the tombs they patronised, but changing social contexts saw those expansions manifested in quite different ways.</w:t>
      </w:r>
    </w:p>
    <w:p>
      <w:pPr>
        <w:pStyle w:val="BodyText"/>
      </w:pPr>
      <w:r>
        <w:t xml:space="preserve">Elsewhere on Crete in the 7th century, we see a shift to unmarked, individual burials, and more austere grave goods, as well as an apparent reorientation of sanctuary deposits away from extra-mural to suburban spaces, and a rise in utilitarian, mass-produced votives</w:t>
      </w:r>
      <w:r>
        <w:t xml:space="preserve"> </w:t>
      </w:r>
      <w:r>
        <w:t xml:space="preserve">(Gagarin and Perlman, 2016: 34-36)</w:t>
      </w:r>
      <w:r>
        <w:t xml:space="preserve">.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C. M. Scarry, et al., 2011; Haggis, Mook, Fitzsimons, M. C. Scarry, et al., 2011)</w:t>
      </w:r>
      <w:r>
        <w:t xml:space="preserve">.</w:t>
      </w:r>
    </w:p>
    <w:p>
      <w:pPr>
        <w:pStyle w:val="BodyText"/>
      </w:pPr>
      <w:r>
        <w:t xml:space="preserve">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 And in the Knossian cemeteries, we have seen a somewhat diverse set of burial practices give way to a more prolific, yet more restricted, suite of funerary rites, focussed on a small number of long-established tombs, in the context of diminishing collective tomb construction, replacement of imports with locally-made imitations, and an imminent cessation of such depositions.</w:t>
      </w:r>
    </w:p>
    <w:p>
      <w:pPr>
        <w:pStyle w:val="BodyText"/>
      </w:pPr>
      <w:r>
        <w:t xml:space="preserve">Whether the increasingly homogenous burials reflected some standard set of accoutrements intentionally shared by the hypothetical</w:t>
      </w:r>
      <w:r>
        <w:t xml:space="preserve"> </w:t>
      </w:r>
      <w:r>
        <w:rPr>
          <w:i/>
        </w:rPr>
        <w:t xml:space="preserve">agathoi</w:t>
      </w:r>
      <w:r>
        <w:t xml:space="preserve">, or else nascent, egalitarian strictures over elaborate burial remains difficult to judge. Yet we need not adopt wholesale a model like Morris’s</w:t>
      </w:r>
      <w:r>
        <w:t xml:space="preserve"> </w:t>
      </w:r>
      <w:r>
        <w:t xml:space="preserve">“</w:t>
      </w:r>
      <w:r>
        <w:t xml:space="preserve">middling</w:t>
      </w:r>
      <w:r>
        <w:t xml:space="preserve">”</w:t>
      </w:r>
      <w:r>
        <w:t xml:space="preserve"> </w:t>
      </w:r>
      <w:r>
        <w:t xml:space="preserve">ideology, nor link the diminishing range of burial goods to Archaic Crete’s purported austerity. As a more nuanced picture emerges of the island’s relationship with the wider Mediterranean, subtler characterisations are possible. It is telling that the peak for imported items came in the 9th century; the Orientalising as a time period feels increasingly misapplied to Crete</w:t>
      </w:r>
      <w:r>
        <w:t xml:space="preserve"> </w:t>
      </w:r>
      <w:r>
        <w:t xml:space="preserve">(Whitley, 2004: 434)</w:t>
      </w:r>
      <w:r>
        <w:t xml:space="preserv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w:t>
      </w:r>
    </w:p>
    <w:p>
      <w:pPr>
        <w:pStyle w:val="BodyText"/>
      </w:pPr>
      <w:r>
        <w:t xml:space="preserve">The decline in imports was, however, counterpointed by a rise in imitations of Near Eastern vessels</w:t>
      </w:r>
      <w:r>
        <w:t xml:space="preserve"> </w:t>
      </w:r>
      <w:r>
        <w:t xml:space="preserve">(Antoniadis, 2012: 170)</w:t>
      </w:r>
      <w:r>
        <w:t xml:space="preserve">, according with our growing awareness of the selective nature of Archaic and Classical Crete’s external relations. Erickson</w:t>
      </w:r>
      <w:r>
        <w:t xml:space="preserve"> </w:t>
      </w:r>
      <w:r>
        <w:t xml:space="preserve">(Erickson, 2010)</w:t>
      </w:r>
      <w:r>
        <w:t xml:space="preserve">, similarly, has argued that</w:t>
      </w:r>
      <w:r>
        <w:t xml:space="preserve"> </w:t>
      </w:r>
      <w:r>
        <w:rPr>
          <w:i/>
        </w:rPr>
        <w:t xml:space="preserve">symposia</w:t>
      </w:r>
      <w:r>
        <w:t xml:space="preserve"> </w:t>
      </w:r>
      <w:r>
        <w:t xml:space="preserve">were practised in Crete, something often disputed, but that their practitioners merely favoured simpler vessel forms than the figurally-decorated wares popular on the mainland. Local, selective adoption of, and responses to, wider social and material trends is perhaps becoming the hallmark of Archaic Crete, and finds further endorsement in the EIA cemeteries at Knossos. What seems certain is that this was a period of transition wherein, whatever their exact identity, certain actors invested heavily in a final flurry of burials in chamber tombs, with an emphasis on a traditional, established repertoire of items, rites, and venues for one’s passage to the afterlife, before changing social forces effected their abandonment.</w:t>
      </w:r>
    </w:p>
    <w:p>
      <w:pPr>
        <w:pStyle w:val="Heading1"/>
      </w:pPr>
      <w:bookmarkStart w:id="63" w:name="conclusion"/>
      <w:bookmarkEnd w:id="63"/>
      <w:r>
        <w:t xml:space="preserve">6. Conclusion</w:t>
      </w:r>
    </w:p>
    <w:p>
      <w:pPr>
        <w:pStyle w:val="FirstParagraph"/>
      </w:pPr>
      <w:r>
        <w:t xml:space="preserve">It is important that the present study was a comparative investigation of both the Fortetsa and Knossos North cemeteries. That both underwent comparable developments during the EIA suggests, not only that they catered to similar sub-sections of the Knossian population, but that some of the socio-economic and political changes inferred were significant and community-wide. Further work should seek to extend these comparisons, both into trends unexplored in the present study, and out to the wider funerary landscape of Knossos. I hope to do just this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study. For one, non-ceramic artefacts were underrepresented due to difficulties with dating, and future work could seek to address this. Issues of gender were sadly little considered, though this was largely due to limitations in the data. There have also been a number of tombs discovered in the last 20 years that fill in the spaces between the Teke plot and the Medical Faculty Site, and ideally these unpublished tombs should be included in further analyses as they, along with the Teke tholos and associated tombs, are probably part of a single contiguous cemetery</w:t>
      </w:r>
      <w:r>
        <w:t xml:space="preserve"> </w:t>
      </w:r>
      <w:r>
        <w:t xml:space="preserve">(Blackman, 1999: 113; Catling, 1983: 51; French, 1991: 68-69)</w:t>
      </w:r>
      <w:r>
        <w:t xml:space="preserve">. Finally, a preliminary study was recently undertaken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little mention in the publication, this material was not inconsiderable and so, regretably, future work will be necessary to determine whether it threatens the integrity of these analyses. Suffice to say that, at present, it is another pinch of salt with which to take the present findings.</w:t>
      </w:r>
    </w:p>
    <w:p>
      <w:pPr>
        <w:pStyle w:val="BodyText"/>
      </w:pPr>
      <w:r>
        <w:t xml:space="preserve">These limitations notwithstanding, the foregoing analysis demonstrates the value of applying quantitative approaches to the archaeological record of the period. Though the construction of databases can be time consuming, once made they offer the opportunity to subdivide, compare, and plot the data in numerous ways,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4" w:name="pagebreak-1"/>
      <w:bookmarkEnd w:id="64"/>
      <w:r>
        <w:t xml:space="preserve">pagebreak</w:t>
      </w:r>
    </w:p>
    <w:p>
      <w:pPr>
        <w:pStyle w:val="Heading1"/>
      </w:pPr>
      <w:bookmarkStart w:id="65" w:name="acknowledgements"/>
      <w:bookmarkEnd w:id="65"/>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I am indebted most of all to Professor Todd Whitelaw, for his unstinting guidance, feedback and facilitation of my ongoing research.</w:t>
      </w:r>
    </w:p>
    <w:p>
      <w:pPr>
        <w:pStyle w:val="Heading1"/>
      </w:pPr>
      <w:bookmarkStart w:id="66" w:name="funding"/>
      <w:bookmarkEnd w:id="66"/>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67" w:name="pagebreak-2"/>
      <w:bookmarkEnd w:id="67"/>
      <w:r>
        <w:t xml:space="preserve">pagebreak</w:t>
      </w:r>
    </w:p>
    <w:p>
      <w:pPr>
        <w:pStyle w:val="Heading1"/>
      </w:pPr>
      <w:bookmarkStart w:id="68" w:name="references"/>
      <w:bookmarkEnd w:id="68"/>
      <w:r>
        <w:t xml:space="preserve">References</w:t>
      </w:r>
    </w:p>
    <w:p>
      <w:pPr>
        <w:pStyle w:val="FirstParagraph"/>
      </w:pPr>
      <w:r>
        <w:t xml:space="preserve">Antoniadis, V., 2012. Early Iron Age Cementeries at Knossos: The Appreciation of Oriental Imports and their Imitations by Knossian Society (PhD thesis). Universitat Pompeu Fabra.</w:t>
      </w:r>
    </w:p>
    <w:p>
      <w:pPr>
        <w:pStyle w:val="BodyText"/>
      </w:pPr>
      <w:r>
        <w:t xml:space="preserve">Appadurai, A., 1986. The Social Life of Things : commodities in cultural perspective. Cambridge University Press, Cambridge.</w:t>
      </w:r>
    </w:p>
    <w:p>
      <w:pPr>
        <w:pStyle w:val="BodyText"/>
      </w:pPr>
      <w:r>
        <w:t xml:space="preserve">Bevan, A., Wilson, A., 2013. Models of settlement hierarchy based on partial evidence. Journal of Archaeological Science 40, 2415–2427.</w:t>
      </w:r>
    </w:p>
    <w:p>
      <w:pPr>
        <w:pStyle w:val="BodyText"/>
      </w:pPr>
      <w:r>
        <w:t xml:space="preserve">Blackman, D., 1999. Archaeology in Greece, 1998-99. Archaeological Reports 45, 1–124.</w:t>
      </w:r>
    </w:p>
    <w:p>
      <w:pPr>
        <w:pStyle w:val="BodyText"/>
      </w:pPr>
      <w:r>
        <w:t xml:space="preserve">Boardman, J., 1967. The Khaniale Tekke Tombs, II. The Annual of the British School at Athens 62, 57–75.</w:t>
      </w:r>
    </w:p>
    <w:p>
      <w:pPr>
        <w:pStyle w:val="BodyText"/>
      </w:pPr>
      <w:r>
        <w:t xml:space="preserve">Boardman, J., 1960. Protogeometric graves at Agios Ioannis near Knossos. The Annual of the British School at Athens 55, 128–148.</w:t>
      </w:r>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p>
    <w:p>
      <w:pPr>
        <w:pStyle w:val="BodyText"/>
      </w:pPr>
      <w:r>
        <w:t xml:space="preserve">Cavanagh, W., 1996. The Burial Customs, in: Coldstream, J., Catling, H.W. (Eds.), Knossos North Cemetery: Early Greek Tombs. The British School at Athens Supplement 28. Vol.II, London, pp. 651–675.</w:t>
      </w:r>
    </w:p>
    <w:p>
      <w:pPr>
        <w:pStyle w:val="BodyText"/>
      </w:pPr>
      <w:r>
        <w:t xml:space="preserve">Coldstream, J., 2006. Knossos in Early Greek Times, in: Deger-Jalkotzy, S., Lemos, I.S. (Eds.), Ancient Greece: From the Mycenaean Palaces to the Age of Homer. Edinburgh University Press, Edinburgh, pp. 581–596.</w:t>
      </w:r>
    </w:p>
    <w:p>
      <w:pPr>
        <w:pStyle w:val="BodyText"/>
      </w:pPr>
      <w:r>
        <w:t xml:space="preserve">Coldstream, J., 2000. Evans’ Greek Finds: The Early Greek Town of Knossos, and its Encroachment on the Borders of the Minoan Palace. The Annual of the British School at Athens 95, 260–299.</w:t>
      </w:r>
    </w:p>
    <w:p>
      <w:pPr>
        <w:pStyle w:val="BodyText"/>
      </w:pPr>
      <w:r>
        <w:t xml:space="preserve">Coldstream, J.,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 1984a. Dorian Knossos and Aristotle’s Villages, in: Glotz, C.G. (Ed.), Aux Origines de L’Hellénisme: La Crète et La Grèce. Hommage à Henri van Effenterre. Université de Paris-I, Paris, pp. 311–322.</w:t>
      </w:r>
    </w:p>
    <w:p>
      <w:pPr>
        <w:pStyle w:val="BodyText"/>
      </w:pPr>
      <w:r>
        <w:t xml:space="preserve">Coldstream, J., 1984b. A Protogeometric Nature Goddess from Knossos. Bulletin of the Institute of Classical Studies 31, 93–104.</w:t>
      </w:r>
    </w:p>
    <w:p>
      <w:pPr>
        <w:pStyle w:val="BodyText"/>
      </w:pPr>
      <w:r>
        <w:t xml:space="preserve">Coldstream, J., Huxley, G., 1996. Fortetsa 1967 Tombs, in: Coldstream, J., Catling, H.W. (Eds.), Knossos North Cemetery: Early Greek Tombs. The British School at Athens Supplement 28. Vol.I, London, p. 284.</w:t>
      </w:r>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 Knossos North Cemetery: Early Greek Tombs. The British School at Athens Supplement 28. Vol.I-IV, London.</w:t>
      </w:r>
    </w:p>
    <w:p>
      <w:pPr>
        <w:pStyle w:val="BodyText"/>
      </w:pPr>
      <w:r>
        <w:t xml:space="preserve">Coldstream, J.N., Huxley, G.L., Webb, V.E.S., 1999. Knossos: The Archaic Gap. The Annual of the British School at Athens 94, 289–307.</w:t>
      </w:r>
    </w:p>
    <w:p>
      <w:pPr>
        <w:pStyle w:val="BodyText"/>
      </w:pPr>
      <w:r>
        <w:t xml:space="preserve">Crema, E.R., 2012. Modelling Temporal Uncertainty in Archaeological Analysis. Journal of Archaeological Method Theory 19, 440–461.</w:t>
      </w:r>
    </w:p>
    <w:p>
      <w:pPr>
        <w:pStyle w:val="BodyText"/>
      </w:pPr>
      <w:r>
        <w:t xml:space="preserve">Crema, E.R., Bevan, A., Lake, M.W., 2010. A probabilistic framework for assessing spatio-temporal point patterns in the archaeological record. Journal of Archaeological Science 37, 1118–1130.</w:t>
      </w:r>
    </w:p>
    <w:p>
      <w:pPr>
        <w:pStyle w:val="BodyText"/>
      </w:pPr>
      <w:r>
        <w:t xml:space="preserve">Crowe, A., 2016. The Minoan Past in the Past: Bronze Age Objects in Early Iron Age Burials at Knossos, Crete (PhD thesis).</w:t>
      </w:r>
    </w:p>
    <w:p>
      <w:pPr>
        <w:pStyle w:val="BodyText"/>
      </w:pPr>
      <w:r>
        <w:t xml:space="preserve">Davaras, C., 1968. Two Geometric Tombs at Atsalenio near Knossos. The Annual of the British School at Athens 63, 133–146.</w:t>
      </w:r>
    </w:p>
    <w:p>
      <w:pPr>
        <w:pStyle w:val="BodyText"/>
      </w:pPr>
      <w:r>
        <w:t xml:space="preserve">Desborough, V.R. d’Arba, 1972. The Greek Dark Ages. Benn, London.</w:t>
      </w:r>
    </w:p>
    <w:p>
      <w:pPr>
        <w:pStyle w:val="BodyText"/>
      </w:pPr>
      <w:r>
        <w:t xml:space="preserve">Erickson, B.L., 2010. Crete in transition: pottery styles and island history in the archaic and classical periods / Brice L. Erickson., Hesperia (princeton, n.J.). supplement ; 45. American School of Classical Studies at Athens, Princeton, NJ.</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Evely, D., 2012. Knossos Teke (property of G. and N. Frangiadakis). Chronique des fouilles en ligne. École française d’Athènes.</w:t>
      </w:r>
    </w:p>
    <w:p>
      <w:pPr>
        <w:pStyle w:val="BodyText"/>
      </w:pPr>
      <w:r>
        <w:t xml:space="preserve">French, E., 1991. Archaeology in Greece, 1990-91. Archaeological Reports 37, 3–78.</w:t>
      </w:r>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Gesell, G.C., Preston Day, L., 2005. Kavousi I: the archaeological survey of the Kavousi Region. INSTAP Academic Press, Philadelphia, Pennsylvania.</w:t>
      </w:r>
    </w:p>
    <w:p>
      <w:pPr>
        <w:pStyle w:val="BodyText"/>
      </w:pPr>
      <w:r>
        <w:t xml:space="preserve">Haggis, D.C., Mook, M.S., Fitzsimons, R.D., Scarry, C.M., Snyder, L.M., West, W.C., 2011. Excavations in the Archaic Civic Buildings at Azoria in 2005-2006. The Journal of the American School of Classical Studies at Athens 80, 1–70.</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Hallager, B.P., 2010. The elusive Late IIIC and the ill-named Subminoan. British School at Athens Studies 18, 141–155.</w:t>
      </w:r>
    </w:p>
    <w:p>
      <w:pPr>
        <w:pStyle w:val="BodyText"/>
      </w:pPr>
      <w:r>
        <w:t xml:space="preserve">Hayden, B.J., 2005. Reports on the Vrokastro area, eastern Crete. Vol. 3, The Vrokastro regional survey project: sites and pottery, University museum monograph ; 123. University of Pennsylvania Museum of Archaeology; Anthropology, Philadelphia.</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Knappett, C., 2011. An archaeology of interaction: network perspectives on material culture and society. Oxford University Press, Oxford.</w:t>
      </w:r>
    </w:p>
    <w:p>
      <w:pPr>
        <w:pStyle w:val="BodyText"/>
      </w:pPr>
      <w:r>
        <w:t xml:space="preserve">Knappett, C., Rivers, R., Evans, T., 2011. The Theran eruption and Minoan palatial collapse: new interpretations gained from modelling the maritime network. Antiquity 85.</w:t>
      </w:r>
    </w:p>
    <w:p>
      <w:pPr>
        <w:pStyle w:val="BodyText"/>
      </w:pPr>
      <w:r>
        <w:t xml:space="preserve">Kopytoff, I., 1986. The cultural biography of things: commoditization as process, in: Appadurai, A. (Ed.), The Social Life of Things: Commodities in Cultural …. Cambridge University Press, Cambridge, pp. 64–92.</w:t>
      </w:r>
    </w:p>
    <w:p>
      <w:pPr>
        <w:pStyle w:val="BodyText"/>
      </w:pPr>
      <w:r>
        <w:t xml:space="preserve">Kotsonas, A., 2016. Politics of Periodization and the Archaeology of Early Greece. American Journal of Archaeology 120, 239–270.</w:t>
      </w:r>
    </w:p>
    <w:p>
      <w:pPr>
        <w:pStyle w:val="BodyText"/>
      </w:pPr>
      <w:r>
        <w:t xml:space="preserve">Kotsonas, A., 2011a. Saro Wallace, Ancient Crete: From Successful Collapse to Democracy’s Alternatives, Twelfth to Fifth Centuries BC. Cambridge/New York: Cambridge University Press, 2010. Pp. xxvi, 450; 6 p. of plates. ISBN 9780521112048. $99.00. Bryn Mawr Classical Review 4.</w:t>
      </w:r>
    </w:p>
    <w:p>
      <w:pPr>
        <w:pStyle w:val="BodyText"/>
      </w:pPr>
      <w:r>
        <w:t xml:space="preserve">Kotsonas, A., 2011b.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p>
    <w:p>
      <w:pPr>
        <w:pStyle w:val="BodyText"/>
      </w:pPr>
      <w:r>
        <w:t xml:space="preserve">Kotsonas, A., 2002. The rise of the polis in Central Crete. ’Eulimene 37–74.</w:t>
      </w:r>
    </w:p>
    <w:p>
      <w:pPr>
        <w:pStyle w:val="BodyText"/>
      </w:pPr>
      <w:r>
        <w:t xml:space="preserve">Kotsonas, A., Whitelaw, T., Vasilakis, A., Bredaki, M., 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t xml:space="preserve">Έ</w:t>
      </w:r>
      <m:oMath>
        <m:r>
          <m:t>ν</m:t>
        </m:r>
      </m:oMath>
      <m:oMath>
        <m:r>
          <m:t>α</m:t>
        </m:r>
      </m:oMath>
      <w:r>
        <w:t xml:space="preserve"> </w:t>
      </w:r>
      <m:oMath>
        <m:r>
          <m:t>τ</m:t>
        </m:r>
      </m:oMath>
      <w:r>
        <w:t xml:space="preserve">ο</w:t>
      </w:r>
      <m:oMath>
        <m:r>
          <m:t>υ</m:t>
        </m:r>
      </m:oMath>
      <w:r>
        <w:t xml:space="preserve"> </w:t>
      </w:r>
      <w:r>
        <w:t xml:space="preserve">11ο</w:t>
      </w:r>
      <m:oMath>
        <m:r>
          <m:t>υ</m:t>
        </m:r>
      </m:oMath>
      <w:r>
        <w:t xml:space="preserve"> </w:t>
      </w:r>
      <m:oMath>
        <m:r>
          <m:t>Δ</m:t>
        </m:r>
      </m:oMath>
      <m:oMath>
        <m:r>
          <m:t>ι</m:t>
        </m:r>
      </m:oMath>
      <m:oMath>
        <m:r>
          <m:t>ϵ</m:t>
        </m:r>
      </m:oMath>
      <m:oMath>
        <m:r>
          <m:t>θ</m:t>
        </m:r>
      </m:oMath>
      <w:r>
        <w:t xml:space="preserve">ούς κ</w:t>
      </w:r>
      <m:oMath>
        <m:r>
          <m:t>ρ</m:t>
        </m:r>
      </m:oMath>
      <m:oMath>
        <m:r>
          <m:t>η</m:t>
        </m:r>
      </m:oMath>
      <m:oMath>
        <m:r>
          <m:t>τ</m:t>
        </m:r>
      </m:oMath>
      <w:r>
        <w:t xml:space="preserve">ο</w:t>
      </w:r>
      <m:oMath>
        <m:r>
          <m:t>λ</m:t>
        </m:r>
      </m:oMath>
      <w:r>
        <w:t xml:space="preserve">ο</w:t>
      </w:r>
      <m:oMath>
        <m:r>
          <m:t>γ</m:t>
        </m:r>
      </m:oMath>
      <m:oMath>
        <m:r>
          <m:t>ι</m:t>
        </m:r>
      </m:oMath>
      <m:oMath>
        <m:r>
          <m:t>κ</m:t>
        </m:r>
      </m:oMath>
      <w:r>
        <w:t xml:space="preserve">ού</w:t>
      </w:r>
      <w:r>
        <w:t xml:space="preserve"> </w:t>
      </w:r>
      <m:oMath>
        <m:r>
          <m:t>Σ</m:t>
        </m:r>
      </m:oMath>
      <m:oMath>
        <m:r>
          <m:t>υ</m:t>
        </m:r>
      </m:oMath>
      <m:oMath>
        <m:r>
          <m:t>ν</m:t>
        </m:r>
      </m:oMath>
      <m:oMath>
        <m:r>
          <m:t>ϵ</m:t>
        </m:r>
      </m:oMath>
      <m:oMath>
        <m:r>
          <m:t>ρ</m:t>
        </m:r>
      </m:oMath>
      <m:oMath>
        <m:r>
          <m:t>δ</m:t>
        </m:r>
      </m:oMath>
      <w:r>
        <w:t xml:space="preserve">ίο</w:t>
      </w:r>
      <m:oMath>
        <m:r>
          <m:t>υ</m:t>
        </m:r>
      </m:oMath>
      <w:r>
        <w:t xml:space="preserve">, ρέ</w:t>
      </w:r>
      <m:oMath>
        <m:r>
          <m:t>θ</m:t>
        </m:r>
      </m:oMath>
      <m:oMath>
        <m:r>
          <m:t>υ</m:t>
        </m:r>
      </m:oMath>
      <m:oMath>
        <m:r>
          <m:t>μ</m:t>
        </m:r>
      </m:oMath>
      <m:oMath>
        <m:r>
          <m:t>ν</m:t>
        </m:r>
      </m:oMath>
      <w:r>
        <w:t xml:space="preserve">ο, 21-27 ο</w:t>
      </w:r>
      <m:oMath>
        <m:r>
          <m:t>κ</m:t>
        </m:r>
      </m:oMath>
      <m:oMath>
        <m:r>
          <m:t>τ</m:t>
        </m:r>
      </m:oMath>
      <m:oMath>
        <m:r>
          <m:t>ω</m:t>
        </m:r>
      </m:oMath>
      <m:oMath>
        <m:r>
          <m:t>β</m:t>
        </m:r>
      </m:oMath>
      <m:oMath>
        <m:r>
          <m:t>ρ</m:t>
        </m:r>
      </m:oMath>
      <w:r>
        <w:t xml:space="preserve">ίο</w:t>
      </w:r>
      <m:oMath>
        <m:r>
          <m:t>υ</m:t>
        </m:r>
      </m:oMath>
      <w:r>
        <w:t xml:space="preserve"> </w:t>
      </w:r>
      <w:r>
        <w:t xml:space="preserve">2011. Ρέ</w:t>
      </w:r>
      <m:oMath>
        <m:r>
          <m:t>θ</m:t>
        </m:r>
      </m:oMath>
      <m:oMath>
        <m:r>
          <m:t>υ</m:t>
        </m:r>
      </m:oMath>
      <m:oMath>
        <m:r>
          <m:t>μ</m:t>
        </m:r>
      </m:oMath>
      <m:oMath>
        <m:r>
          <m:t>ν</m:t>
        </m:r>
      </m:oMath>
      <w:r>
        <w:t xml:space="preserve">ο.</w:t>
      </w:r>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69">
        <w:r>
          <w:rPr>
            <w:rStyle w:val="Hyperlink"/>
          </w:rPr>
          <w:t xml:space="preserve">https://doi.org/10.1007/s10816-015-9272-9</w:t>
        </w:r>
      </w:hyperlink>
    </w:p>
    <w:p>
      <w:pPr>
        <w:pStyle w:val="BodyText"/>
      </w:pPr>
      <w:r>
        <w:t xml:space="preserve">Marwick, B., 2017b. Using R and related tools for reproducible research in archaeology, in: The Practice of Reproducible Research: Case Studies and Lessons from the Data-Intensive Sciences. pp. 181–190.</w:t>
      </w:r>
    </w:p>
    <w:p>
      <w:pPr>
        <w:pStyle w:val="BodyText"/>
      </w:pPr>
      <w:r>
        <w:t xml:space="preserve">Marwick, B., Pilaar Birch, S.E., 2018. A Standard for the Scholarly Citation of Archaeological Data as an Incentive to Data Sharing. Advances in Archaeological Practice 6, 1–19.</w:t>
      </w:r>
      <w:r>
        <w:t xml:space="preserve"> </w:t>
      </w:r>
      <w:hyperlink r:id="rId70">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Musgrave, J., 1996. The Human Bones, in: Coldstream, J., Catling, H.W. (Eds.), Knossos North Cemetery: Early Greek Tombs. The British School at Athens Supplement 28. Vol.II, London, pp. 677–702.</w:t>
      </w:r>
    </w:p>
    <w:p>
      <w:pPr>
        <w:pStyle w:val="BodyText"/>
      </w:pPr>
      <w:r>
        <w:t xml:space="preserve">Nowicki, K., 2000. Defensible sites in Crete c.1200-800 B.C. : (LM IIIB/IIIC through early Geometric). Université de Liège, Liège.</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1971. The Dark Age of Greece. An Archaeological Survey of the Eleventh to the Eighth Centuries BC. Edinburgh University Press, Edinburgh.</w:t>
      </w:r>
    </w:p>
    <w:p>
      <w:pPr>
        <w:pStyle w:val="BodyText"/>
      </w:pPr>
      <w:r>
        <w:t xml:space="preserve">Wallace, S., 2010. Ancient Crete: From Successful Collapse to Democracy’s Alternatives, Twelth to Fifth Centuries BC. Cambridge University Press#, Cambridge.</w:t>
      </w:r>
    </w:p>
    <w:p>
      <w:pPr>
        <w:pStyle w:val="BodyText"/>
      </w:pPr>
      <w:r>
        <w:t xml:space="preserve">Watrous, L.V., Haggis, D.C., Nowicki, K., Vogeikoff-Brogan, N., Schultz, M., 2012. An archaeological survey of the Gournia landscape: a regional history of the Mirabello Bay, Crete, in antiquity, Prehistory monographs ; 37. INSTAP Academic Press, Philadelphia.</w:t>
      </w:r>
    </w:p>
    <w:p>
      <w:pPr>
        <w:pStyle w:val="BodyText"/>
      </w:pPr>
      <w:r>
        <w:t xml:space="preserve">Whitley, J., 2011. Saro Wallace. Ancient Crete: From Successful Collapse to Democracy’s Alternatives, Twelfth to Fifth Centuries BC. (review). American Journal of Philology 132, 667–670.</w:t>
      </w:r>
      <w:r>
        <w:t xml:space="preserve"> </w:t>
      </w:r>
      <w:hyperlink r:id="rId71">
        <w:r>
          <w:rPr>
            <w:rStyle w:val="Hyperlink"/>
          </w:rPr>
          <w:t xml:space="preserve">https://doi.org/10.1353/ajp.2011.0043</w:t>
        </w:r>
      </w:hyperlink>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Α</w:t>
      </w:r>
      <m:oMath>
        <m:r>
          <m:t>λ</m:t>
        </m:r>
      </m:oMath>
      <m:oMath>
        <m:r>
          <m:t>ϵ</m:t>
        </m:r>
      </m:oMath>
      <m:oMath>
        <m:r>
          <m:t>ξ</m:t>
        </m:r>
      </m:oMath>
      <w:r>
        <w:t xml:space="preserve">ίο</w:t>
      </w:r>
      <m:oMath>
        <m:r>
          <m:t>υ</m:t>
        </m:r>
      </m:oMath>
      <w:r>
        <w:t xml:space="preserve">, \., 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 Κ</w:t>
      </w:r>
      <m:oMath>
        <m:r>
          <m:t>ρ</m:t>
        </m:r>
      </m:oMath>
      <m:oMath>
        <m:r>
          <m:t>η</m:t>
        </m:r>
      </m:oMath>
      <m:oMath>
        <m:r>
          <m:t>τ</m:t>
        </m:r>
      </m:oMath>
      <m:oMath>
        <m:r>
          <m:t>ι</m:t>
        </m:r>
      </m:oMath>
      <m:oMath>
        <m:r>
          <m:t>κ</m:t>
        </m:r>
      </m:oMath>
      <w:r>
        <w:t xml:space="preserve">ά Χ</w:t>
      </w:r>
      <m:oMath>
        <m:r>
          <m:t>ρ</m:t>
        </m:r>
      </m:oMath>
      <w:r>
        <w:t xml:space="preserve">ο</w:t>
      </w:r>
      <m:oMath>
        <m:r>
          <m:t>ν</m:t>
        </m:r>
      </m:oMath>
      <m:oMath>
        <m:r>
          <m:t>ι</m:t>
        </m:r>
      </m:oMath>
      <m:oMath>
        <m:r>
          <m:t>κ</m:t>
        </m:r>
      </m:oMath>
      <w:r>
        <w:t xml:space="preserve">ά 4, 294–318.</w:t>
      </w:r>
    </w:p>
    <w:p>
      <w:pPr>
        <w:pStyle w:val="Heading5"/>
      </w:pPr>
      <w:bookmarkStart w:id="72" w:name="pagebreak-3"/>
      <w:bookmarkEnd w:id="72"/>
      <w:r>
        <w:t xml:space="preserve">pagebreak</w:t>
      </w:r>
    </w:p>
    <w:p>
      <w:pPr>
        <w:pStyle w:val="Heading1"/>
      </w:pPr>
      <w:bookmarkStart w:id="73" w:name="captions"/>
      <w:bookmarkEnd w:id="73"/>
      <w:r>
        <w:t xml:space="preserve">Captions</w:t>
      </w:r>
    </w:p>
    <w:p>
      <w:pPr>
        <w:pStyle w:val="FirstParagraph"/>
      </w:pPr>
      <w:r>
        <w:rPr>
          <w:i/>
        </w:rPr>
        <w:t xml:space="preserve">Figure 1</w:t>
      </w:r>
      <w:r>
        <w:rPr>
          <w:i/>
        </w:rPr>
        <w:t xml:space="preserve"> </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w:t>
      </w:r>
      <w:r>
        <w:rPr>
          <w:i/>
        </w:rPr>
        <w:t xml:space="preserve"> </w:t>
      </w:r>
    </w:p>
    <w:p>
      <w:pPr>
        <w:pStyle w:val="BodyText"/>
      </w:pPr>
      <w:r>
        <w:rPr>
          <w:i/>
        </w:rPr>
        <w:t xml:space="preserve">Figure 5</w:t>
      </w:r>
      <w:r>
        <w:rPr>
          <w:i/>
        </w:rPr>
        <w:t xml:space="preserve"> </w:t>
      </w:r>
    </w:p>
    <w:p>
      <w:pPr>
        <w:pStyle w:val="BodyText"/>
      </w:pPr>
      <w:r>
        <w:rPr>
          <w:i/>
        </w:rPr>
        <w:t xml:space="preserve">Figure 6</w:t>
      </w:r>
      <w:r>
        <w:rPr>
          <w:i/>
        </w:rPr>
        <w:t xml:space="preserve"> </w:t>
      </w:r>
    </w:p>
    <w:p>
      <w:pPr>
        <w:pStyle w:val="BodyText"/>
      </w:pPr>
      <w:r>
        <w:rPr>
          <w:i/>
        </w:rPr>
        <w:t xml:space="preserve">Figure 7</w:t>
      </w:r>
      <w:r>
        <w:rPr>
          <w:i/>
        </w:rPr>
        <w:t xml:space="preserve"> </w:t>
      </w:r>
    </w:p>
    <w:p>
      <w:pPr>
        <w:pStyle w:val="BodyText"/>
      </w:pPr>
      <w:r>
        <w:rPr>
          <w:i/>
        </w:rPr>
        <w:t xml:space="preserve">Figure 8</w:t>
      </w:r>
      <w:r>
        <w:rPr>
          <w:i/>
        </w:rPr>
        <w:t xml:space="preserve"> </w:t>
      </w:r>
    </w:p>
    <w:p>
      <w:pPr>
        <w:pStyle w:val="BodyText"/>
      </w:pPr>
      <w:r>
        <w:rPr>
          <w:i/>
        </w:rPr>
        <w:t xml:space="preserve">Figure 9</w:t>
      </w:r>
      <w:r>
        <w:rPr>
          <w:i/>
        </w:rPr>
        <w:t xml:space="preserve"> </w:t>
      </w:r>
    </w:p>
    <w:p>
      <w:pPr>
        <w:pStyle w:val="BodyText"/>
      </w:pPr>
      <w:r>
        <w:rPr>
          <w:i/>
        </w:rPr>
        <w:t xml:space="preserve">Figure 10</w:t>
      </w:r>
      <w:r>
        <w:rPr>
          <w:i/>
        </w:rPr>
        <w:t xml:space="preserve"> </w:t>
      </w:r>
    </w:p>
    <w:p>
      <w:pPr>
        <w:pStyle w:val="BodyText"/>
      </w:pPr>
      <w:r>
        <w:rPr>
          <w:i/>
        </w:rPr>
        <w:t xml:space="preserve">Figure 11</w:t>
      </w:r>
      <w:r>
        <w:rPr>
          <w:i/>
        </w:rPr>
        <w:t xml:space="preserve"> </w:t>
      </w:r>
    </w:p>
    <w:p>
      <w:pPr>
        <w:pStyle w:val="BodyText"/>
      </w:pPr>
      <w:r>
        <w:rPr>
          <w:i/>
        </w:rPr>
        <w:t xml:space="preserve">Figure 11</w:t>
      </w:r>
      <w:r>
        <w:rPr>
          <w:i/>
        </w:rPr>
        <w:t xml:space="preserve"> </w:t>
      </w:r>
    </w:p>
    <w:p>
      <w:pPr>
        <w:pStyle w:val="BodyText"/>
      </w:pPr>
      <w:r>
        <w:rPr>
          <w:i/>
        </w:rPr>
        <w:t xml:space="preserve">Figure 12</w:t>
      </w:r>
      <w:r>
        <w:rPr>
          <w:i/>
        </w:rPr>
        <w:t xml:space="preserve"> </w:t>
      </w:r>
    </w:p>
    <w:p>
      <w:pPr>
        <w:pStyle w:val="BodyText"/>
      </w:pPr>
      <w:r>
        <w:rPr>
          <w:i/>
        </w:rPr>
        <w:t xml:space="preserve">Figure 13</w:t>
      </w:r>
      <w:r>
        <w:rPr>
          <w:i/>
        </w:rPr>
        <w:t xml:space="preserve"> </w:t>
      </w:r>
    </w:p>
    <w:p>
      <w:pPr>
        <w:pStyle w:val="BodyText"/>
      </w:pPr>
      <w:r>
        <w:rPr>
          <w:i/>
        </w:rPr>
        <w:t xml:space="preserve">Figure 14</w:t>
      </w:r>
      <w:r>
        <w:rPr>
          <w:i/>
        </w:rPr>
        <w:t xml:space="preserve"> </w:t>
      </w:r>
    </w:p>
    <w:p>
      <w:pPr>
        <w:pStyle w:val="BodyText"/>
      </w:pPr>
      <w:r>
        <w:rPr>
          <w:i/>
        </w:rPr>
        <w:t xml:space="preserve">Figure 15</w:t>
      </w:r>
      <w:r>
        <w:rPr>
          <w:i/>
        </w:rPr>
        <w:t xml:space="preserve"> </w:t>
      </w:r>
    </w:p>
    <w:p>
      <w:pPr>
        <w:pStyle w:val="BodyText"/>
      </w:pPr>
      <w:r>
        <w:rPr>
          <w:i/>
        </w:rPr>
        <w:t xml:space="preserve">Figure 16</w:t>
      </w:r>
      <w:r>
        <w:rPr>
          <w:i/>
        </w:rPr>
        <w:t xml:space="preserve"> </w:t>
      </w:r>
    </w:p>
    <w:p>
      <w:pPr>
        <w:pStyle w:val="BodyText"/>
      </w:pPr>
      <w:r>
        <w:rPr>
          <w:i/>
        </w:rPr>
        <w:t xml:space="preserve">Figure 17</w:t>
      </w:r>
      <w:r>
        <w:rPr>
          <w:i/>
        </w:rPr>
        <w:t xml:space="preserve"> </w:t>
      </w:r>
    </w:p>
    <w:p>
      <w:pPr>
        <w:pStyle w:val="BodyText"/>
      </w:pPr>
      <w:r>
        <w:rPr>
          <w:i/>
        </w:rPr>
        <w:t xml:space="preserve">Figure 18</w:t>
      </w:r>
      <w:r>
        <w:rPr>
          <w:i/>
        </w:rPr>
        <w:t xml:space="preserve"> </w:t>
      </w:r>
    </w:p>
    <w:p>
      <w:pPr>
        <w:pStyle w:val="BodyText"/>
      </w:pPr>
      <w:r>
        <w:rPr>
          <w:i/>
        </w:rPr>
        <w:t xml:space="preserve">Figure 19 Histograms corresponding, first, to counts of jewellery (beads, necklaces, rings, diadems etc.), metal objects, and imported items by tomb across both cemeteries and, secondly, to those counts divided by the estimated number of burials in each tomb.</w:t>
      </w:r>
    </w:p>
    <w:p>
      <w:pPr>
        <w:pStyle w:val="Heading5"/>
      </w:pPr>
      <w:bookmarkStart w:id="74" w:name="pagebreak-4"/>
      <w:bookmarkEnd w:id="74"/>
      <w:r>
        <w:t xml:space="preserve">pagebreak</w:t>
      </w:r>
    </w:p>
    <w:p>
      <w:pPr>
        <w:pStyle w:val="Heading3"/>
      </w:pPr>
      <w:bookmarkStart w:id="75" w:name="colophon"/>
      <w:bookmarkEnd w:id="75"/>
      <w:r>
        <w:t xml:space="preserve">Colophon</w:t>
      </w:r>
    </w:p>
    <w:p>
      <w:pPr>
        <w:pStyle w:val="FirstParagraph"/>
      </w:pPr>
      <w:r>
        <w:t xml:space="preserve">This report was generated on 2020-10-13 14:46:05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2020-10-13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0.3.3   2019-10-18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2.1.2   2018-03-15 [1] CRAN (R 3.5.2)</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[9b5e987] 2020-10-13: Figure edits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6e4b1d0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51" Target="media/rId51.jpg" /><Relationship Type="http://schemas.openxmlformats.org/officeDocument/2006/relationships/image" Id="rId58" Target="media/rId58.jpg" /><Relationship Type="http://schemas.openxmlformats.org/officeDocument/2006/relationships/image" Id="rId49" Target="media/rId49.jpg" /><Relationship Type="http://schemas.openxmlformats.org/officeDocument/2006/relationships/image" Id="rId61" Target="media/rId61.jpg" /><Relationship Type="http://schemas.openxmlformats.org/officeDocument/2006/relationships/image" Id="rId59" Target="media/rId59.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53" Target="media/rId53.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69" Target="https://doi.org/10.1007/s10816-015-9272-9" TargetMode="External" /><Relationship Type="http://schemas.openxmlformats.org/officeDocument/2006/relationships/hyperlink" Id="rId70" Target="https://doi.org/10.1017/aap.2018.3" TargetMode="External" /><Relationship Type="http://schemas.openxmlformats.org/officeDocument/2006/relationships/hyperlink" Id="rId71" Target="https://doi.org/10.1353/ajp.2011.0043"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31-34 Gordon Square, Bloomsbury, London WC1H 0PY, United Kingdom; dominic.pollard.16@ucl.ac.uk</dc:creator>
  <dcterms:created xsi:type="dcterms:W3CDTF">2020-10-13T13:46:19Z</dcterms:created>
  <dcterms:modified xsi:type="dcterms:W3CDTF">2020-10-13T13:46:19Z</dcterms:modified>
</cp:coreProperties>
</file>